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82A" w:rsidRDefault="006F382A" w:rsidP="006F382A">
      <w:pPr>
        <w:jc w:val="center"/>
      </w:pPr>
      <w:bookmarkStart w:id="0" w:name="_GoBack"/>
      <w:r>
        <w:rPr>
          <w:rFonts w:ascii="Verdana" w:hAnsi="Verdana"/>
          <w:b/>
          <w:bCs/>
          <w:color w:val="3366CC"/>
          <w:sz w:val="20"/>
          <w:szCs w:val="20"/>
          <w:lang w:val="fr-CA"/>
        </w:rPr>
        <w:t xml:space="preserve">International </w:t>
      </w:r>
      <w:proofErr w:type="spellStart"/>
      <w:r>
        <w:rPr>
          <w:rFonts w:ascii="Verdana" w:hAnsi="Verdana"/>
          <w:b/>
          <w:bCs/>
          <w:color w:val="3366CC"/>
          <w:sz w:val="20"/>
          <w:szCs w:val="20"/>
          <w:lang w:val="fr-CA"/>
        </w:rPr>
        <w:t>Actuarial</w:t>
      </w:r>
      <w:proofErr w:type="spellEnd"/>
      <w:r>
        <w:rPr>
          <w:rFonts w:ascii="Verdana" w:hAnsi="Verdana"/>
          <w:b/>
          <w:bCs/>
          <w:color w:val="3366CC"/>
          <w:sz w:val="20"/>
          <w:szCs w:val="20"/>
          <w:lang w:val="fr-CA"/>
        </w:rPr>
        <w:t xml:space="preserve"> Association </w:t>
      </w:r>
      <w:bookmarkEnd w:id="0"/>
      <w:r>
        <w:rPr>
          <w:rFonts w:ascii="Verdana" w:hAnsi="Verdana"/>
          <w:b/>
          <w:bCs/>
          <w:color w:val="3366CC"/>
          <w:sz w:val="20"/>
          <w:szCs w:val="20"/>
          <w:lang w:val="fr-CA"/>
        </w:rPr>
        <w:t>| Association Actuarielle Internationale</w:t>
      </w:r>
    </w:p>
    <w:p w:rsidR="006F382A" w:rsidRDefault="006F382A" w:rsidP="006F382A">
      <w:pPr>
        <w:jc w:val="center"/>
      </w:pPr>
      <w:r>
        <w:rPr>
          <w:color w:val="1F497D"/>
          <w:lang w:val="fr-C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F382A" w:rsidTr="006F382A">
        <w:trPr>
          <w:jc w:val="center"/>
        </w:trPr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2A" w:rsidRDefault="006F382A">
            <w:pPr>
              <w:jc w:val="center"/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7191375" cy="885825"/>
                  <wp:effectExtent l="0" t="0" r="9525" b="9525"/>
                  <wp:docPr id="2" name="Immagine 2" descr="cid:image001.png@01D0F12A.14EC8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1.png@01D0F12A.14EC8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1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82A" w:rsidTr="006F382A">
        <w:trPr>
          <w:jc w:val="center"/>
        </w:trPr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2A" w:rsidRDefault="006F382A">
            <w:pPr>
              <w:jc w:val="right"/>
            </w:pPr>
            <w:r>
              <w:rPr>
                <w:rFonts w:ascii="Verdana" w:hAnsi="Verdana"/>
                <w:b/>
                <w:bCs/>
                <w:color w:val="F9A91E"/>
                <w:sz w:val="28"/>
                <w:szCs w:val="28"/>
              </w:rPr>
              <w:t>August 2017</w:t>
            </w:r>
          </w:p>
          <w:p w:rsidR="006F382A" w:rsidRDefault="006F382A">
            <w:pPr>
              <w:jc w:val="right"/>
            </w:pPr>
            <w:r>
              <w:rPr>
                <w:rFonts w:ascii="Verdana" w:hAnsi="Verdana"/>
                <w:b/>
                <w:bCs/>
                <w:color w:val="F9A91E"/>
                <w:sz w:val="28"/>
                <w:szCs w:val="28"/>
              </w:rPr>
              <w:t> </w:t>
            </w:r>
          </w:p>
        </w:tc>
      </w:tr>
      <w:tr w:rsidR="006F382A" w:rsidTr="006F382A">
        <w:trPr>
          <w:jc w:val="center"/>
        </w:trPr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2"/>
              <w:gridCol w:w="471"/>
              <w:gridCol w:w="3769"/>
            </w:tblGrid>
            <w:tr w:rsidR="006F382A">
              <w:tc>
                <w:tcPr>
                  <w:tcW w:w="2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82A" w:rsidRDefault="006F382A">
                  <w:proofErr w:type="spellStart"/>
                  <w:r>
                    <w:rPr>
                      <w:rStyle w:val="yui372181356827855748121"/>
                      <w:rFonts w:ascii="Verdana" w:hAnsi="Verdana"/>
                      <w:b/>
                      <w:bCs/>
                      <w:color w:val="3366CC"/>
                      <w:sz w:val="20"/>
                      <w:szCs w:val="20"/>
                    </w:rPr>
                    <w:t>Highlights</w:t>
                  </w:r>
                  <w:proofErr w:type="spellEnd"/>
                  <w:r>
                    <w:rPr>
                      <w:rStyle w:val="yui372181356827855748121"/>
                      <w:rFonts w:ascii="Verdana" w:hAnsi="Verdana"/>
                      <w:b/>
                      <w:bCs/>
                      <w:color w:val="3366CC"/>
                      <w:sz w:val="20"/>
                      <w:szCs w:val="20"/>
                    </w:rPr>
                    <w:t xml:space="preserve"> from </w:t>
                  </w:r>
                  <w:proofErr w:type="spellStart"/>
                  <w:r>
                    <w:rPr>
                      <w:rStyle w:val="yui372181356827855748121"/>
                      <w:rFonts w:ascii="Verdana" w:hAnsi="Verdana"/>
                      <w:b/>
                      <w:bCs/>
                      <w:color w:val="3366CC"/>
                      <w:sz w:val="20"/>
                      <w:szCs w:val="20"/>
                    </w:rPr>
                    <w:t>this</w:t>
                  </w:r>
                  <w:proofErr w:type="spellEnd"/>
                  <w:r>
                    <w:rPr>
                      <w:rStyle w:val="yui372181356827855748121"/>
                      <w:rFonts w:ascii="Verdana" w:hAnsi="Verdana"/>
                      <w:b/>
                      <w:bCs/>
                      <w:color w:val="3366CC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yui372181356827855748121"/>
                      <w:rFonts w:ascii="Verdana" w:hAnsi="Verdana"/>
                      <w:b/>
                      <w:bCs/>
                      <w:color w:val="3366CC"/>
                      <w:sz w:val="20"/>
                      <w:szCs w:val="20"/>
                    </w:rPr>
                    <w:t>issue</w:t>
                  </w:r>
                  <w:proofErr w:type="spellEnd"/>
                  <w:r>
                    <w:rPr>
                      <w:rStyle w:val="yui372181356827855748121"/>
                      <w:rFonts w:ascii="Verdana" w:hAnsi="Verdana"/>
                      <w:b/>
                      <w:bCs/>
                      <w:color w:val="3366CC"/>
                      <w:sz w:val="20"/>
                      <w:szCs w:val="20"/>
                    </w:rPr>
                    <w:t xml:space="preserve"> include:</w:t>
                  </w:r>
                  <w:r>
                    <w:rPr>
                      <w:rFonts w:ascii="Verdana" w:hAnsi="Verdana"/>
                      <w:color w:val="3366CC"/>
                      <w:sz w:val="20"/>
                      <w:szCs w:val="20"/>
                    </w:rPr>
                    <w:t xml:space="preserve"> </w:t>
                  </w:r>
                </w:p>
                <w:p w:rsidR="006F382A" w:rsidRDefault="006F382A">
                  <w:r>
                    <w:rPr>
                      <w:color w:val="1F497D"/>
                    </w:rPr>
                    <w:t> </w:t>
                  </w:r>
                </w:p>
                <w:p w:rsidR="006F382A" w:rsidRDefault="006F382A">
                  <w:pPr>
                    <w:spacing w:after="60"/>
                    <w:ind w:right="159"/>
                  </w:pPr>
                  <w:r>
                    <w:rPr>
                      <w:b/>
                      <w:bCs/>
                      <w:color w:val="1F497D"/>
                      <w:sz w:val="20"/>
                      <w:szCs w:val="20"/>
                    </w:rPr>
                    <w:t>STAKEHOLDER ENGAGEMENT</w:t>
                  </w:r>
                </w:p>
                <w:p w:rsidR="006F382A" w:rsidRDefault="006F382A" w:rsidP="00C6678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rPr>
                      <w:rFonts w:eastAsia="Times New Roman"/>
                    </w:rPr>
                  </w:pPr>
                  <w:hyperlink r:id="rId7" w:anchor="IPSASB" w:history="1"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International Public Sector Accounting </w:t>
                    </w:r>
                    <w:proofErr w:type="spellStart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>Standards</w:t>
                    </w:r>
                    <w:proofErr w:type="spellEnd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 Board</w:t>
                    </w:r>
                  </w:hyperlink>
                </w:p>
                <w:p w:rsidR="006F382A" w:rsidRDefault="006F382A" w:rsidP="00C6678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rPr>
                      <w:rFonts w:eastAsia="Times New Roman"/>
                    </w:rPr>
                  </w:pPr>
                  <w:hyperlink r:id="rId8" w:anchor="IAIS" w:history="1"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Supervisory </w:t>
                    </w:r>
                    <w:proofErr w:type="spellStart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>Capacity</w:t>
                    </w:r>
                    <w:proofErr w:type="spellEnd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>-Building Program</w:t>
                    </w:r>
                  </w:hyperlink>
                </w:p>
                <w:p w:rsidR="006F382A" w:rsidRDefault="006F382A" w:rsidP="00C6678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rPr>
                      <w:rFonts w:eastAsia="Times New Roman"/>
                      <w:color w:val="0000FF"/>
                    </w:rPr>
                  </w:pPr>
                  <w:hyperlink r:id="rId9" w:anchor="OECD" w:history="1">
                    <w:proofErr w:type="spellStart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>Organisation</w:t>
                    </w:r>
                    <w:proofErr w:type="spellEnd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 for </w:t>
                    </w:r>
                    <w:proofErr w:type="spellStart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>Economic</w:t>
                    </w:r>
                    <w:proofErr w:type="spellEnd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>Cooperation</w:t>
                    </w:r>
                    <w:proofErr w:type="spellEnd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 and Development</w:t>
                    </w:r>
                  </w:hyperlink>
                </w:p>
                <w:p w:rsidR="006F382A" w:rsidRDefault="006F382A">
                  <w:pPr>
                    <w:autoSpaceDE w:val="0"/>
                    <w:autoSpaceDN w:val="0"/>
                    <w:ind w:left="720"/>
                  </w:pPr>
                  <w:hyperlink r:id="rId10" w:anchor="OECD" w:history="1">
                    <w:r>
                      <w:rPr>
                        <w:rStyle w:val="Collegamentoipertestuale"/>
                        <w:sz w:val="20"/>
                        <w:szCs w:val="20"/>
                      </w:rPr>
                      <w:t xml:space="preserve">(OECD) and International </w:t>
                    </w:r>
                    <w:proofErr w:type="spellStart"/>
                    <w:r>
                      <w:rPr>
                        <w:rStyle w:val="Collegamentoipertestuale"/>
                        <w:sz w:val="20"/>
                        <w:szCs w:val="20"/>
                      </w:rPr>
                      <w:t>Organisation</w:t>
                    </w:r>
                    <w:proofErr w:type="spellEnd"/>
                    <w:r>
                      <w:rPr>
                        <w:rStyle w:val="Collegamentoipertestuale"/>
                        <w:sz w:val="20"/>
                        <w:szCs w:val="20"/>
                      </w:rPr>
                      <w:t xml:space="preserve"> of </w:t>
                    </w:r>
                    <w:proofErr w:type="spellStart"/>
                    <w:r>
                      <w:rPr>
                        <w:rStyle w:val="Collegamentoipertestuale"/>
                        <w:sz w:val="20"/>
                        <w:szCs w:val="20"/>
                      </w:rPr>
                      <w:t>Pension</w:t>
                    </w:r>
                    <w:proofErr w:type="spellEnd"/>
                  </w:hyperlink>
                </w:p>
                <w:p w:rsidR="006F382A" w:rsidRDefault="006F382A">
                  <w:pPr>
                    <w:autoSpaceDE w:val="0"/>
                    <w:autoSpaceDN w:val="0"/>
                    <w:ind w:left="720"/>
                  </w:pPr>
                  <w:hyperlink r:id="rId11" w:anchor="OECD" w:history="1">
                    <w:proofErr w:type="spellStart"/>
                    <w:r>
                      <w:rPr>
                        <w:rStyle w:val="Collegamentoipertestuale"/>
                        <w:sz w:val="20"/>
                        <w:szCs w:val="20"/>
                      </w:rPr>
                      <w:t>Supervisors</w:t>
                    </w:r>
                    <w:proofErr w:type="spellEnd"/>
                    <w:r>
                      <w:rPr>
                        <w:rStyle w:val="Collegamentoipertestuale"/>
                        <w:sz w:val="20"/>
                        <w:szCs w:val="20"/>
                      </w:rPr>
                      <w:t xml:space="preserve"> (IOPS) </w:t>
                    </w:r>
                    <w:proofErr w:type="spellStart"/>
                    <w:r>
                      <w:rPr>
                        <w:rStyle w:val="Collegamentoipertestuale"/>
                        <w:sz w:val="20"/>
                        <w:szCs w:val="20"/>
                      </w:rPr>
                      <w:t>Meetings</w:t>
                    </w:r>
                    <w:proofErr w:type="spellEnd"/>
                  </w:hyperlink>
                </w:p>
                <w:p w:rsidR="006F382A" w:rsidRDefault="006F382A" w:rsidP="00C6678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rPr>
                      <w:rFonts w:eastAsia="Times New Roman"/>
                    </w:rPr>
                  </w:pPr>
                  <w:hyperlink r:id="rId12" w:anchor="IASB" w:history="1">
                    <w:proofErr w:type="spellStart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>Meetings</w:t>
                    </w:r>
                    <w:proofErr w:type="spellEnd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 with the International Accounting </w:t>
                    </w:r>
                    <w:proofErr w:type="spellStart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>Standards</w:t>
                    </w:r>
                    <w:proofErr w:type="spellEnd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 Board</w:t>
                    </w:r>
                  </w:hyperlink>
                </w:p>
                <w:p w:rsidR="006F382A" w:rsidRDefault="006F382A" w:rsidP="00C6678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rPr>
                      <w:rFonts w:eastAsia="Times New Roman"/>
                    </w:rPr>
                  </w:pPr>
                  <w:hyperlink r:id="rId13" w:anchor="WorldBank" w:history="1"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World </w:t>
                    </w:r>
                    <w:proofErr w:type="spellStart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>Bank</w:t>
                    </w:r>
                    <w:proofErr w:type="spellEnd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 Panel </w:t>
                    </w:r>
                    <w:proofErr w:type="spellStart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>Discussion</w:t>
                    </w:r>
                    <w:proofErr w:type="spellEnd"/>
                  </w:hyperlink>
                </w:p>
                <w:p w:rsidR="006F382A" w:rsidRDefault="006F382A" w:rsidP="00C6678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rPr>
                      <w:rFonts w:eastAsia="Times New Roman"/>
                    </w:rPr>
                  </w:pPr>
                  <w:hyperlink r:id="rId14" w:anchor="AASL" w:history="1"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IAA </w:t>
                    </w:r>
                    <w:proofErr w:type="spellStart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>Regional</w:t>
                    </w:r>
                    <w:proofErr w:type="spellEnd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 Seminar and </w:t>
                    </w:r>
                    <w:proofErr w:type="spellStart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>Association</w:t>
                    </w:r>
                    <w:proofErr w:type="spellEnd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>Meetings</w:t>
                    </w:r>
                    <w:proofErr w:type="spellEnd"/>
                    <w:r>
                      <w:rPr>
                        <w:rStyle w:val="Collegamentoipertestuale"/>
                        <w:rFonts w:eastAsia="Times New Roman"/>
                        <w:sz w:val="20"/>
                        <w:szCs w:val="20"/>
                      </w:rPr>
                      <w:t xml:space="preserve"> in Sri Lanka</w:t>
                    </w:r>
                  </w:hyperlink>
                </w:p>
                <w:p w:rsidR="006F382A" w:rsidRDefault="006F382A">
                  <w:pPr>
                    <w:spacing w:after="60"/>
                    <w:ind w:right="159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  <w:p w:rsidR="006F382A" w:rsidRDefault="006F382A">
                  <w:pPr>
                    <w:spacing w:after="60"/>
                    <w:ind w:right="159"/>
                  </w:pPr>
                  <w:r>
                    <w:rPr>
                      <w:b/>
                      <w:bCs/>
                      <w:color w:val="1F497D"/>
                      <w:sz w:val="20"/>
                      <w:szCs w:val="20"/>
                    </w:rPr>
                    <w:t>PUBLICATIONS</w:t>
                  </w:r>
                </w:p>
                <w:p w:rsidR="006F382A" w:rsidRDefault="006F382A">
                  <w:pPr>
                    <w:spacing w:after="120"/>
                    <w:jc w:val="both"/>
                  </w:pP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Paper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on the Impact of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Personalised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Medicine and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Genomics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on the Insurance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Industry</w:t>
                  </w:r>
                  <w:proofErr w:type="spellEnd"/>
                </w:p>
                <w:p w:rsidR="006F382A" w:rsidRDefault="006F382A">
                  <w:pPr>
                    <w:spacing w:after="60"/>
                    <w:ind w:right="159"/>
                  </w:pPr>
                  <w:r>
                    <w:rPr>
                      <w:sz w:val="20"/>
                      <w:szCs w:val="20"/>
                    </w:rPr>
                    <w:t xml:space="preserve">The IAA </w:t>
                  </w:r>
                  <w:proofErr w:type="spellStart"/>
                  <w:r>
                    <w:rPr>
                      <w:sz w:val="20"/>
                      <w:szCs w:val="20"/>
                    </w:rPr>
                    <w:t>recently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published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sz w:val="20"/>
                      <w:szCs w:val="20"/>
                    </w:rPr>
                    <w:t>paper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on the </w:t>
                  </w:r>
                  <w:hyperlink r:id="rId15" w:history="1">
                    <w:r>
                      <w:rPr>
                        <w:rStyle w:val="Collegamentoipertestuale"/>
                        <w:sz w:val="20"/>
                        <w:szCs w:val="20"/>
                      </w:rPr>
                      <w:t xml:space="preserve">impact of </w:t>
                    </w:r>
                    <w:proofErr w:type="spellStart"/>
                    <w:r>
                      <w:rPr>
                        <w:rStyle w:val="Collegamentoipertestuale"/>
                        <w:sz w:val="20"/>
                        <w:szCs w:val="20"/>
                      </w:rPr>
                      <w:t>personalised</w:t>
                    </w:r>
                    <w:proofErr w:type="spellEnd"/>
                    <w:r>
                      <w:rPr>
                        <w:rStyle w:val="Collegamentoipertestuale"/>
                        <w:sz w:val="20"/>
                        <w:szCs w:val="20"/>
                      </w:rPr>
                      <w:t xml:space="preserve"> medicine and </w:t>
                    </w:r>
                    <w:proofErr w:type="spellStart"/>
                    <w:r>
                      <w:rPr>
                        <w:rStyle w:val="Collegamentoipertestuale"/>
                        <w:sz w:val="20"/>
                        <w:szCs w:val="20"/>
                      </w:rPr>
                      <w:t>genomics</w:t>
                    </w:r>
                    <w:proofErr w:type="spellEnd"/>
                    <w:r>
                      <w:rPr>
                        <w:rStyle w:val="Collegamentoipertestuale"/>
                        <w:sz w:val="20"/>
                        <w:szCs w:val="20"/>
                      </w:rPr>
                      <w:t xml:space="preserve"> on the </w:t>
                    </w:r>
                    <w:proofErr w:type="spellStart"/>
                    <w:r>
                      <w:rPr>
                        <w:rStyle w:val="Collegamentoipertestuale"/>
                        <w:sz w:val="20"/>
                        <w:szCs w:val="20"/>
                      </w:rPr>
                      <w:t>insurance</w:t>
                    </w:r>
                    <w:proofErr w:type="spellEnd"/>
                    <w:r>
                      <w:rPr>
                        <w:rStyle w:val="Collegamentoipertestuale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Collegamentoipertestuale"/>
                        <w:sz w:val="20"/>
                        <w:szCs w:val="20"/>
                      </w:rPr>
                      <w:t>industry</w:t>
                    </w:r>
                    <w:proofErr w:type="spellEnd"/>
                  </w:hyperlink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which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was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developed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by the </w:t>
                  </w:r>
                  <w:proofErr w:type="spellStart"/>
                  <w:r>
                    <w:rPr>
                      <w:sz w:val="20"/>
                      <w:szCs w:val="20"/>
                    </w:rPr>
                    <w:t>Health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Committee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Personalised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medicine, </w:t>
                  </w:r>
                  <w:proofErr w:type="spellStart"/>
                  <w:r>
                    <w:rPr>
                      <w:sz w:val="20"/>
                      <w:szCs w:val="20"/>
                    </w:rPr>
                    <w:t>which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tailors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medical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treatment to the </w:t>
                  </w:r>
                  <w:proofErr w:type="spellStart"/>
                  <w:r>
                    <w:rPr>
                      <w:sz w:val="20"/>
                      <w:szCs w:val="20"/>
                    </w:rPr>
                    <w:t>individual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characteristics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>
                    <w:rPr>
                      <w:sz w:val="20"/>
                      <w:szCs w:val="20"/>
                    </w:rPr>
                    <w:t>each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patient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is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attracting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serious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attention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many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levels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internationally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The </w:t>
                  </w:r>
                  <w:proofErr w:type="spellStart"/>
                  <w:r>
                    <w:rPr>
                      <w:sz w:val="20"/>
                      <w:szCs w:val="20"/>
                    </w:rPr>
                    <w:t>paper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discusses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personalised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medicine, the future of </w:t>
                  </w:r>
                  <w:proofErr w:type="spellStart"/>
                  <w:r>
                    <w:rPr>
                      <w:sz w:val="20"/>
                      <w:szCs w:val="20"/>
                    </w:rPr>
                    <w:t>genomics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current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challenges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the impact of </w:t>
                  </w:r>
                  <w:proofErr w:type="spellStart"/>
                  <w:r>
                    <w:rPr>
                      <w:sz w:val="20"/>
                      <w:szCs w:val="20"/>
                    </w:rPr>
                    <w:t>genomics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on the </w:t>
                  </w:r>
                  <w:proofErr w:type="spellStart"/>
                  <w:r>
                    <w:rPr>
                      <w:sz w:val="20"/>
                      <w:szCs w:val="20"/>
                    </w:rPr>
                    <w:t>insurance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industry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and </w:t>
                  </w:r>
                  <w:proofErr w:type="spellStart"/>
                  <w:r>
                    <w:rPr>
                      <w:sz w:val="20"/>
                      <w:szCs w:val="20"/>
                    </w:rPr>
                    <w:t>recommendations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for </w:t>
                  </w:r>
                  <w:proofErr w:type="spellStart"/>
                  <w:r>
                    <w:rPr>
                      <w:sz w:val="20"/>
                      <w:szCs w:val="20"/>
                    </w:rPr>
                    <w:t>actuaries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6F382A" w:rsidRDefault="006F382A">
                  <w:pPr>
                    <w:spacing w:after="60"/>
                    <w:ind w:right="159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6F382A" w:rsidRDefault="006F382A">
                  <w:pPr>
                    <w:spacing w:after="60"/>
                    <w:ind w:right="159"/>
                  </w:pPr>
                  <w:r>
                    <w:rPr>
                      <w:b/>
                      <w:bCs/>
                      <w:color w:val="1F497D"/>
                      <w:sz w:val="20"/>
                      <w:szCs w:val="20"/>
                    </w:rPr>
                    <w:t>COMMITTEE NEWS</w:t>
                  </w:r>
                </w:p>
                <w:p w:rsidR="006F382A" w:rsidRDefault="006F382A">
                  <w:pPr>
                    <w:spacing w:after="120"/>
                    <w:jc w:val="both"/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Actuarial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Standards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Committee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  </w:t>
                  </w:r>
                </w:p>
                <w:p w:rsidR="006F382A" w:rsidRDefault="006F382A">
                  <w:pPr>
                    <w:spacing w:after="60"/>
                    <w:ind w:right="159"/>
                  </w:pPr>
                  <w:r>
                    <w:rPr>
                      <w:sz w:val="20"/>
                      <w:szCs w:val="20"/>
                    </w:rPr>
                    <w:t xml:space="preserve">Work on model International </w:t>
                  </w:r>
                  <w:proofErr w:type="spellStart"/>
                  <w:r>
                    <w:rPr>
                      <w:sz w:val="20"/>
                      <w:szCs w:val="20"/>
                    </w:rPr>
                    <w:t>Standards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>
                    <w:rPr>
                      <w:sz w:val="20"/>
                      <w:szCs w:val="20"/>
                    </w:rPr>
                    <w:t>Actuarial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Practice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sz w:val="20"/>
                      <w:szCs w:val="20"/>
                    </w:rPr>
                    <w:t>ISAPs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 </w:t>
                  </w:r>
                  <w:proofErr w:type="spellStart"/>
                  <w:r>
                    <w:rPr>
                      <w:sz w:val="20"/>
                      <w:szCs w:val="20"/>
                    </w:rPr>
                    <w:t>has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progressed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since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our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last report in April. On </w:t>
                  </w:r>
                  <w:proofErr w:type="spellStart"/>
                  <w:r>
                    <w:rPr>
                      <w:sz w:val="20"/>
                      <w:szCs w:val="20"/>
                    </w:rPr>
                    <w:t>June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29, the ASC </w:t>
                  </w:r>
                  <w:proofErr w:type="spellStart"/>
                  <w:r>
                    <w:rPr>
                      <w:sz w:val="20"/>
                      <w:szCs w:val="20"/>
                    </w:rPr>
                    <w:t>issued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the </w:t>
                  </w:r>
                  <w:proofErr w:type="spellStart"/>
                  <w:r>
                    <w:rPr>
                      <w:sz w:val="20"/>
                      <w:szCs w:val="20"/>
                    </w:rPr>
                    <w:t>exposure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draft of </w:t>
                  </w:r>
                  <w:proofErr w:type="spellStart"/>
                  <w:r>
                    <w:rPr>
                      <w:sz w:val="20"/>
                      <w:szCs w:val="20"/>
                    </w:rPr>
                    <w:t>its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Proposed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Revision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to International Standard of</w:t>
                  </w:r>
                </w:p>
                <w:p w:rsidR="006F382A" w:rsidRDefault="006F382A">
                  <w:pPr>
                    <w:spacing w:after="60"/>
                    <w:ind w:right="159"/>
                  </w:pPr>
                  <w:proofErr w:type="spellStart"/>
                  <w:r>
                    <w:rPr>
                      <w:sz w:val="20"/>
                      <w:szCs w:val="20"/>
                    </w:rPr>
                    <w:t>Actuarial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Practice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1—General </w:t>
                  </w:r>
                  <w:proofErr w:type="spellStart"/>
                  <w:r>
                    <w:rPr>
                      <w:sz w:val="20"/>
                      <w:szCs w:val="20"/>
                    </w:rPr>
                    <w:t>Actuarial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Practice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with a </w:t>
                  </w:r>
                  <w:proofErr w:type="spellStart"/>
                  <w:r>
                    <w:rPr>
                      <w:sz w:val="20"/>
                      <w:szCs w:val="20"/>
                    </w:rPr>
                    <w:t>comment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period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>
                    <w:rPr>
                      <w:sz w:val="20"/>
                      <w:szCs w:val="20"/>
                    </w:rPr>
                    <w:t>four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months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6F382A" w:rsidRDefault="006F382A">
                  <w:pPr>
                    <w:spacing w:after="60"/>
                    <w:ind w:right="159"/>
                  </w:pPr>
                  <w:hyperlink r:id="rId16" w:history="1">
                    <w:proofErr w:type="spellStart"/>
                    <w:r>
                      <w:rPr>
                        <w:rStyle w:val="Collegamentoipertestuale"/>
                        <w:i/>
                        <w:iCs/>
                        <w:sz w:val="20"/>
                        <w:szCs w:val="20"/>
                      </w:rPr>
                      <w:t>Learn</w:t>
                    </w:r>
                    <w:proofErr w:type="spellEnd"/>
                    <w:r>
                      <w:rPr>
                        <w:rStyle w:val="Collegamentoipertestuale"/>
                        <w:i/>
                        <w:iCs/>
                        <w:sz w:val="20"/>
                        <w:szCs w:val="20"/>
                      </w:rPr>
                      <w:t xml:space="preserve"> more</w:t>
                    </w:r>
                  </w:hyperlink>
                  <w:r>
                    <w:rPr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i/>
                      <w:iCs/>
                      <w:sz w:val="20"/>
                      <w:szCs w:val="20"/>
                    </w:rPr>
                    <w:br/>
                  </w:r>
                </w:p>
                <w:p w:rsidR="006F382A" w:rsidRDefault="006F382A">
                  <w:pPr>
                    <w:spacing w:after="60"/>
                    <w:ind w:right="159"/>
                  </w:pPr>
                </w:p>
                <w:p w:rsidR="006F382A" w:rsidRDefault="006F382A">
                  <w:pPr>
                    <w:spacing w:after="60"/>
                    <w:ind w:right="159"/>
                  </w:pPr>
                </w:p>
                <w:p w:rsidR="006F382A" w:rsidRDefault="006F382A">
                  <w:pPr>
                    <w:spacing w:after="60"/>
                    <w:ind w:right="159"/>
                  </w:pPr>
                  <w:r>
                    <w:rPr>
                      <w:b/>
                      <w:bCs/>
                      <w:color w:val="1F497D"/>
                      <w:sz w:val="20"/>
                      <w:szCs w:val="20"/>
                    </w:rPr>
                    <w:lastRenderedPageBreak/>
                    <w:t>PUBLIC STATEMENTS</w:t>
                  </w:r>
                </w:p>
                <w:p w:rsidR="006F382A" w:rsidRDefault="006F382A">
                  <w:pPr>
                    <w:spacing w:after="60"/>
                    <w:ind w:right="159"/>
                  </w:pPr>
                  <w:r>
                    <w:rPr>
                      <w:sz w:val="20"/>
                      <w:szCs w:val="20"/>
                    </w:rPr>
                    <w:t xml:space="preserve">One public statement </w:t>
                  </w:r>
                  <w:proofErr w:type="spellStart"/>
                  <w:r>
                    <w:rPr>
                      <w:sz w:val="20"/>
                      <w:szCs w:val="20"/>
                    </w:rPr>
                    <w:t>has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been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issued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—the </w:t>
                  </w:r>
                  <w:proofErr w:type="spellStart"/>
                  <w:r>
                    <w:rPr>
                      <w:sz w:val="20"/>
                      <w:szCs w:val="20"/>
                    </w:rPr>
                    <w:t>Response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to IAIS </w:t>
                  </w:r>
                  <w:proofErr w:type="spellStart"/>
                  <w:r>
                    <w:rPr>
                      <w:sz w:val="20"/>
                      <w:szCs w:val="20"/>
                    </w:rPr>
                    <w:t>Consultation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on </w:t>
                  </w:r>
                  <w:proofErr w:type="spellStart"/>
                  <w:r>
                    <w:rPr>
                      <w:sz w:val="20"/>
                      <w:szCs w:val="20"/>
                    </w:rPr>
                    <w:t>Revised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Insurance Core </w:t>
                  </w:r>
                  <w:proofErr w:type="spellStart"/>
                  <w:r>
                    <w:rPr>
                      <w:sz w:val="20"/>
                      <w:szCs w:val="20"/>
                    </w:rPr>
                    <w:t>Principles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sz w:val="20"/>
                      <w:szCs w:val="20"/>
                    </w:rPr>
                    <w:t>ICPs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 and </w:t>
                  </w:r>
                  <w:proofErr w:type="spellStart"/>
                  <w:r>
                    <w:rPr>
                      <w:sz w:val="20"/>
                      <w:szCs w:val="20"/>
                    </w:rPr>
                    <w:t>ComFrame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material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integrated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with </w:t>
                  </w:r>
                  <w:proofErr w:type="spellStart"/>
                  <w:r>
                    <w:rPr>
                      <w:sz w:val="20"/>
                      <w:szCs w:val="20"/>
                    </w:rPr>
                    <w:t>ICPs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6F382A" w:rsidRDefault="006F382A">
                  <w:pPr>
                    <w:spacing w:after="60"/>
                    <w:ind w:right="159"/>
                  </w:pPr>
                  <w:hyperlink r:id="rId17" w:history="1">
                    <w:proofErr w:type="spellStart"/>
                    <w:r>
                      <w:rPr>
                        <w:rStyle w:val="Collegamentoipertestuale"/>
                        <w:i/>
                        <w:iCs/>
                        <w:sz w:val="20"/>
                        <w:szCs w:val="20"/>
                      </w:rPr>
                      <w:t>Learn</w:t>
                    </w:r>
                    <w:proofErr w:type="spellEnd"/>
                    <w:r>
                      <w:rPr>
                        <w:rStyle w:val="Collegamentoipertestuale"/>
                        <w:i/>
                        <w:iCs/>
                        <w:sz w:val="20"/>
                        <w:szCs w:val="20"/>
                      </w:rPr>
                      <w:t xml:space="preserve"> more</w:t>
                    </w:r>
                  </w:hyperlink>
                </w:p>
                <w:p w:rsidR="006F382A" w:rsidRDefault="006F382A">
                  <w:pPr>
                    <w:spacing w:after="60"/>
                    <w:ind w:right="159"/>
                  </w:pPr>
                  <w:r>
                    <w:rPr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b/>
                      <w:bCs/>
                      <w:color w:val="1F497D"/>
                      <w:sz w:val="20"/>
                      <w:szCs w:val="20"/>
                    </w:rPr>
                    <w:t>SECTION NEWS</w:t>
                  </w:r>
                </w:p>
                <w:p w:rsidR="006F382A" w:rsidRDefault="006F382A" w:rsidP="00C6678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Global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Mentorship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Program</w:t>
                  </w:r>
                </w:p>
                <w:p w:rsidR="006F382A" w:rsidRDefault="006F382A" w:rsidP="00C6678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Life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Colloquium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Barcelona</w:t>
                  </w:r>
                  <w:proofErr w:type="spellEnd"/>
                </w:p>
                <w:p w:rsidR="006F382A" w:rsidRDefault="006F382A">
                  <w:pPr>
                    <w:autoSpaceDE w:val="0"/>
                    <w:autoSpaceDN w:val="0"/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  <w:p w:rsidR="006F382A" w:rsidRDefault="006F382A">
                  <w:pPr>
                    <w:spacing w:after="60"/>
                    <w:ind w:right="159"/>
                  </w:pPr>
                  <w:hyperlink r:id="rId18" w:history="1">
                    <w:proofErr w:type="spellStart"/>
                    <w:r>
                      <w:rPr>
                        <w:rStyle w:val="Collegamentoipertestuale"/>
                        <w:i/>
                        <w:iCs/>
                        <w:sz w:val="20"/>
                        <w:szCs w:val="20"/>
                      </w:rPr>
                      <w:t>Learn</w:t>
                    </w:r>
                    <w:proofErr w:type="spellEnd"/>
                    <w:r>
                      <w:rPr>
                        <w:rStyle w:val="Collegamentoipertestuale"/>
                        <w:i/>
                        <w:iCs/>
                        <w:sz w:val="20"/>
                        <w:szCs w:val="20"/>
                      </w:rPr>
                      <w:t xml:space="preserve"> more</w:t>
                    </w:r>
                  </w:hyperlink>
                </w:p>
                <w:p w:rsidR="006F382A" w:rsidRDefault="006F382A">
                  <w:pPr>
                    <w:autoSpaceDE w:val="0"/>
                    <w:autoSpaceDN w:val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6F382A" w:rsidRDefault="006F382A">
                  <w:pPr>
                    <w:spacing w:after="60"/>
                    <w:ind w:right="159"/>
                  </w:pPr>
                  <w:r>
                    <w:rPr>
                      <w:b/>
                      <w:bCs/>
                      <w:color w:val="1F497D"/>
                      <w:sz w:val="20"/>
                      <w:szCs w:val="20"/>
                    </w:rPr>
                    <w:t>SECRETARIAT NEWS</w:t>
                  </w:r>
                </w:p>
                <w:p w:rsidR="006F382A" w:rsidRDefault="006F382A">
                  <w:pPr>
                    <w:spacing w:after="60"/>
                    <w:ind w:right="159"/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Meet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our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new Web Developer!</w:t>
                  </w:r>
                  <w:r>
                    <w:rPr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sz w:val="20"/>
                      <w:szCs w:val="20"/>
                    </w:rPr>
                    <w:t>We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would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like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to welcome Rabia </w:t>
                  </w:r>
                  <w:proofErr w:type="spellStart"/>
                  <w:r>
                    <w:rPr>
                      <w:sz w:val="20"/>
                      <w:szCs w:val="20"/>
                    </w:rPr>
                    <w:t>Sajjad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to the IAA </w:t>
                  </w:r>
                  <w:proofErr w:type="spellStart"/>
                  <w:r>
                    <w:rPr>
                      <w:sz w:val="20"/>
                      <w:szCs w:val="20"/>
                    </w:rPr>
                    <w:t>Secretariat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our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new web </w:t>
                  </w:r>
                  <w:proofErr w:type="spellStart"/>
                  <w:r>
                    <w:rPr>
                      <w:sz w:val="20"/>
                      <w:szCs w:val="20"/>
                    </w:rPr>
                    <w:t>developer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6F382A" w:rsidRDefault="006F382A">
                  <w:pPr>
                    <w:spacing w:after="60"/>
                    <w:ind w:right="159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The IAA Staff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pays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it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forward</w:t>
                  </w:r>
                  <w:proofErr w:type="spellEnd"/>
                </w:p>
                <w:p w:rsidR="006F382A" w:rsidRDefault="006F382A">
                  <w:pPr>
                    <w:spacing w:after="60"/>
                    <w:ind w:right="159"/>
                  </w:pPr>
                  <w:r>
                    <w:rPr>
                      <w:sz w:val="20"/>
                      <w:szCs w:val="20"/>
                    </w:rPr>
                    <w:t xml:space="preserve">On August 30th, IAA staff </w:t>
                  </w:r>
                  <w:proofErr w:type="spellStart"/>
                  <w:r>
                    <w:rPr>
                      <w:sz w:val="20"/>
                      <w:szCs w:val="20"/>
                    </w:rPr>
                    <w:t>spent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the day </w:t>
                  </w:r>
                  <w:proofErr w:type="spellStart"/>
                  <w:r>
                    <w:rPr>
                      <w:sz w:val="20"/>
                      <w:szCs w:val="20"/>
                    </w:rPr>
                    <w:t>helping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with the </w:t>
                  </w:r>
                  <w:proofErr w:type="spellStart"/>
                  <w:r>
                    <w:rPr>
                      <w:sz w:val="20"/>
                      <w:szCs w:val="20"/>
                    </w:rPr>
                    <w:t>construction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of a home for Habitat for </w:t>
                  </w:r>
                  <w:proofErr w:type="spellStart"/>
                  <w:r>
                    <w:rPr>
                      <w:sz w:val="20"/>
                      <w:szCs w:val="20"/>
                    </w:rPr>
                    <w:t>Humanity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; a non-profit </w:t>
                  </w:r>
                  <w:proofErr w:type="spellStart"/>
                  <w:r>
                    <w:rPr>
                      <w:sz w:val="20"/>
                      <w:szCs w:val="20"/>
                    </w:rPr>
                    <w:t>organization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that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work’s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towards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 world </w:t>
                  </w:r>
                  <w:proofErr w:type="spellStart"/>
                  <w:r>
                    <w:rPr>
                      <w:sz w:val="20"/>
                      <w:szCs w:val="20"/>
                    </w:rPr>
                    <w:t>where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everyone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has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sz w:val="20"/>
                      <w:szCs w:val="20"/>
                    </w:rPr>
                    <w:t>safe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and </w:t>
                  </w:r>
                  <w:proofErr w:type="spellStart"/>
                  <w:r>
                    <w:rPr>
                      <w:sz w:val="20"/>
                      <w:szCs w:val="20"/>
                    </w:rPr>
                    <w:t>decent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place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to live.</w:t>
                  </w:r>
                </w:p>
                <w:p w:rsidR="006F382A" w:rsidRDefault="006F382A">
                  <w:pPr>
                    <w:autoSpaceDE w:val="0"/>
                    <w:autoSpaceDN w:val="0"/>
                  </w:pPr>
                  <w:hyperlink r:id="rId19" w:history="1">
                    <w:proofErr w:type="spellStart"/>
                    <w:r>
                      <w:rPr>
                        <w:rStyle w:val="Collegamentoipertestuale"/>
                        <w:i/>
                        <w:iCs/>
                        <w:sz w:val="20"/>
                        <w:szCs w:val="20"/>
                      </w:rPr>
                      <w:t>Learn</w:t>
                    </w:r>
                    <w:proofErr w:type="spellEnd"/>
                    <w:r>
                      <w:rPr>
                        <w:rStyle w:val="Collegamentoipertestuale"/>
                        <w:i/>
                        <w:iCs/>
                        <w:sz w:val="20"/>
                        <w:szCs w:val="20"/>
                      </w:rPr>
                      <w:t xml:space="preserve"> more</w:t>
                    </w:r>
                  </w:hyperlink>
                </w:p>
              </w:tc>
              <w:tc>
                <w:tcPr>
                  <w:tcW w:w="2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82A" w:rsidRDefault="006F382A">
                  <w:pPr>
                    <w:jc w:val="center"/>
                  </w:pPr>
                  <w:r>
                    <w:rPr>
                      <w:color w:val="1F497D"/>
                    </w:rPr>
                    <w:lastRenderedPageBreak/>
                    <w:t> </w:t>
                  </w:r>
                </w:p>
              </w:tc>
              <w:tc>
                <w:tcPr>
                  <w:tcW w:w="2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82A" w:rsidRDefault="006F382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52575" cy="2009775"/>
                        <wp:effectExtent l="0" t="0" r="9525" b="9525"/>
                        <wp:docPr id="1" name="Immagine 1" descr="cid:image002.jpg@01D32310.1FC85D30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2.jpg@01D32310.1FC85D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r:link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2009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hyperlink r:id="rId23" w:history="1">
                    <w:proofErr w:type="spellStart"/>
                    <w:r>
                      <w:rPr>
                        <w:rStyle w:val="Collegamentoipertestuale"/>
                        <w:color w:val="0070C0"/>
                      </w:rPr>
                      <w:t>Also</w:t>
                    </w:r>
                    <w:proofErr w:type="spellEnd"/>
                    <w:r>
                      <w:rPr>
                        <w:rStyle w:val="Collegamentoipertestuale"/>
                        <w:color w:val="0070C0"/>
                      </w:rPr>
                      <w:t xml:space="preserve"> </w:t>
                    </w:r>
                    <w:proofErr w:type="spellStart"/>
                    <w:r>
                      <w:rPr>
                        <w:rStyle w:val="Collegamentoipertestuale"/>
                        <w:color w:val="0070C0"/>
                      </w:rPr>
                      <w:t>available</w:t>
                    </w:r>
                    <w:proofErr w:type="spellEnd"/>
                    <w:r>
                      <w:rPr>
                        <w:rStyle w:val="Collegamentoipertestuale"/>
                        <w:color w:val="0070C0"/>
                      </w:rPr>
                      <w:t xml:space="preserve"> in PDF </w:t>
                    </w:r>
                  </w:hyperlink>
                </w:p>
                <w:p w:rsidR="006F382A" w:rsidRDefault="006F382A">
                  <w:r>
                    <w:t> 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3"/>
                  </w:tblGrid>
                  <w:tr w:rsidR="006F382A">
                    <w:trPr>
                      <w:jc w:val="center"/>
                    </w:trPr>
                    <w:tc>
                      <w:tcPr>
                        <w:tcW w:w="5000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BDD6EE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F382A" w:rsidRDefault="006F382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UPCOMING EVENTS</w:t>
                        </w:r>
                      </w:p>
                      <w:p w:rsidR="006F382A" w:rsidRDefault="006F382A">
                        <w:r>
                          <w:rPr>
                            <w:color w:val="1F497D"/>
                          </w:rPr>
                          <w:t> </w:t>
                        </w:r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24" w:anchor="Chicago" w:history="1"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Council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Committee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Meetings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in Chicago, U.S.</w:t>
                          </w:r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25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Life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Colloquium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Barcelona</w:t>
                          </w:r>
                          <w:proofErr w:type="spellEnd"/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26" w:anchor="SOA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Series of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Events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from the Society of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Actuaries</w:t>
                          </w:r>
                          <w:proofErr w:type="spellEnd"/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27" w:anchor="Edinburgh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Data Science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Lecture</w:t>
                          </w:r>
                          <w:proofErr w:type="spellEnd"/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28" w:anchor="ifrs9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IAA Banking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Working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Group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Webinar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Actuaries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Bringing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Value to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Banks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by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Implementing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IFRS9</w:t>
                          </w:r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29" w:anchor="colombia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6th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Actuarial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Symposium in Colombia</w:t>
                          </w:r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30" w:anchor="kenya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The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Actuarial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Society of Kenya 2017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Actuarial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Convention</w:t>
                          </w:r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31" w:anchor="eaa" w:history="1"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European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Actuarial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Academy</w:t>
                          </w:r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32" w:anchor="caa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Caribbean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Actuarial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Association’s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27th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Annual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Conference</w:t>
                          </w:r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33" w:anchor="africa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African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Actuarial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Congress</w:t>
                          </w:r>
                          <w:proofErr w:type="spellEnd"/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34" w:anchor="ica2018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ICA 2018</w:t>
                          </w:r>
                        </w:hyperlink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</w:tbl>
                <w:p w:rsidR="006F382A" w:rsidRDefault="006F382A">
                  <w:pPr>
                    <w:spacing w:after="240"/>
                    <w:jc w:val="center"/>
                    <w:rPr>
                      <w:color w:val="1F497D"/>
                    </w:rPr>
                  </w:pPr>
                </w:p>
                <w:p w:rsidR="006F382A" w:rsidRDefault="006F382A">
                  <w:pPr>
                    <w:spacing w:after="240"/>
                    <w:jc w:val="center"/>
                    <w:rPr>
                      <w:color w:val="1F497D"/>
                    </w:rPr>
                  </w:pPr>
                </w:p>
                <w:p w:rsidR="006F382A" w:rsidRDefault="006F382A">
                  <w:pPr>
                    <w:spacing w:after="240"/>
                    <w:jc w:val="center"/>
                  </w:pPr>
                  <w:r>
                    <w:rPr>
                      <w:color w:val="1F497D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3"/>
                  </w:tblGrid>
                  <w:tr w:rsidR="006F382A">
                    <w:trPr>
                      <w:jc w:val="center"/>
                    </w:trPr>
                    <w:tc>
                      <w:tcPr>
                        <w:tcW w:w="350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BCF5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F382A" w:rsidRDefault="006F382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NEWS FROM MEMBER ASSOCIATIONS</w:t>
                        </w:r>
                      </w:p>
                      <w:p w:rsidR="006F382A" w:rsidRDefault="006F382A">
                        <w:pPr>
                          <w:ind w:left="-14" w:firstLine="14"/>
                        </w:pPr>
                        <w:r>
                          <w:rPr>
                            <w:color w:val="1F497D"/>
                          </w:rPr>
                          <w:t> </w:t>
                        </w:r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35" w:anchor="DAV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Deutsche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Aktuarvereinigung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, Germany</w:t>
                          </w:r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36" w:anchor="NZSA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New Zealand Society of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Actuaries</w:t>
                          </w:r>
                          <w:proofErr w:type="spellEnd"/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37" w:anchor="AAA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American Academy of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Actuaries</w:t>
                          </w:r>
                          <w:proofErr w:type="spellEnd"/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</w:pPr>
                        <w:hyperlink r:id="rId38" w:anchor="SOA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Society of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Actuaries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sz w:val="20"/>
                              <w:szCs w:val="20"/>
                            </w:rPr>
                            <w:t>, USA</w:t>
                          </w:r>
                        </w:hyperlink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</w:tbl>
                <w:p w:rsidR="006F382A" w:rsidRDefault="006F382A">
                  <w:pPr>
                    <w:spacing w:after="240"/>
                    <w:jc w:val="center"/>
                  </w:pPr>
                  <w:r>
                    <w:rPr>
                      <w:color w:val="1F497D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3"/>
                  </w:tblGrid>
                  <w:tr w:rsidR="006F382A">
                    <w:tc>
                      <w:tcPr>
                        <w:tcW w:w="350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BDD6EE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F382A" w:rsidRDefault="006F382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IAA PUBLICATIONS AVAILABLE FOR PURCHASE</w:t>
                        </w:r>
                      </w:p>
                      <w:p w:rsidR="006F382A" w:rsidRDefault="006F382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3"/>
                          </w:numPr>
                          <w:ind w:left="343" w:hanging="283"/>
                        </w:pPr>
                        <w:hyperlink r:id="rId39" w:history="1"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 xml:space="preserve">Discount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>Rates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 xml:space="preserve"> in Financial Reporting - A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>Practical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 xml:space="preserve"> Guide</w:t>
                          </w:r>
                        </w:hyperlink>
                      </w:p>
                      <w:p w:rsidR="006F382A" w:rsidRDefault="006F382A" w:rsidP="00C6678F">
                        <w:pPr>
                          <w:pStyle w:val="Paragrafoelenco"/>
                          <w:numPr>
                            <w:ilvl w:val="0"/>
                            <w:numId w:val="3"/>
                          </w:numPr>
                          <w:ind w:left="343" w:hanging="283"/>
                        </w:pPr>
                        <w:hyperlink r:id="rId40" w:history="1"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>Stochastic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>Modeling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>Theory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 xml:space="preserve"> and Reality from an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>Actuarial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>Perspective</w:t>
                          </w:r>
                          <w:proofErr w:type="spellEnd"/>
                        </w:hyperlink>
                      </w:p>
                      <w:p w:rsidR="006F382A" w:rsidRDefault="006F382A">
                        <w:pPr>
                          <w:pStyle w:val="Paragrafoelenco"/>
                          <w:ind w:left="343"/>
                        </w:pPr>
                        <w:r>
                          <w:rPr>
                            <w:rFonts w:ascii="Calibri" w:hAnsi="Calibri" w:cs="Calibri"/>
                            <w:color w:val="1F497D"/>
                          </w:rPr>
                          <w:t> </w:t>
                        </w:r>
                      </w:p>
                    </w:tc>
                  </w:tr>
                </w:tbl>
                <w:p w:rsidR="006F382A" w:rsidRDefault="006F382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382A" w:rsidRDefault="006F382A">
            <w:r>
              <w:lastRenderedPageBreak/>
              <w:t> </w:t>
            </w:r>
          </w:p>
          <w:p w:rsidR="006F382A" w:rsidRDefault="006F382A">
            <w:r>
              <w:rPr>
                <w:i/>
                <w:iCs/>
              </w:rPr>
              <w:t> </w:t>
            </w:r>
          </w:p>
          <w:p w:rsidR="006F382A" w:rsidRDefault="006F382A">
            <w:r>
              <w:t> </w:t>
            </w:r>
          </w:p>
        </w:tc>
      </w:tr>
    </w:tbl>
    <w:p w:rsidR="00BB5D17" w:rsidRDefault="00BB5D17"/>
    <w:sectPr w:rsidR="00BB5D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-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54B5"/>
    <w:multiLevelType w:val="hybridMultilevel"/>
    <w:tmpl w:val="E528F682"/>
    <w:lvl w:ilvl="0" w:tplc="100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25EEE"/>
    <w:multiLevelType w:val="hybridMultilevel"/>
    <w:tmpl w:val="0688E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A0A8B0">
      <w:numFmt w:val="bullet"/>
      <w:lvlText w:val="•"/>
      <w:lvlJc w:val="left"/>
      <w:pPr>
        <w:ind w:left="1440" w:hanging="360"/>
      </w:pPr>
      <w:rPr>
        <w:rFonts w:ascii="Raleway-Regular" w:eastAsia="Calibri" w:hAnsi="Raleway-Regular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278D5"/>
    <w:multiLevelType w:val="hybridMultilevel"/>
    <w:tmpl w:val="A62C4E0E"/>
    <w:lvl w:ilvl="0" w:tplc="E560153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5130FBDC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2A"/>
    <w:rsid w:val="006F382A"/>
    <w:rsid w:val="00BB5D17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9DEA"/>
  <w15:chartTrackingRefBased/>
  <w15:docId w15:val="{B26619C8-0A99-45B1-B499-A5B199BD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382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F38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382A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yui372181356827855748121">
    <w:name w:val="yui_3_7_2_18_1356827855748_121"/>
    <w:basedOn w:val="Carpredefinitoparagrafo"/>
    <w:rsid w:val="006F38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8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82A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uaries.org/LIBRARY/Newsletters/2017-08/stakeholder_engagement.html" TargetMode="External"/><Relationship Id="rId13" Type="http://schemas.openxmlformats.org/officeDocument/2006/relationships/hyperlink" Target="http://www.actuaries.org/LIBRARY/Newsletters/2017-08/stakeholder_engagement.html" TargetMode="External"/><Relationship Id="rId18" Type="http://schemas.openxmlformats.org/officeDocument/2006/relationships/hyperlink" Target="http://www.actuaries.org/LIBRARY/Newsletters/2017-08/section_news.html" TargetMode="External"/><Relationship Id="rId26" Type="http://schemas.openxmlformats.org/officeDocument/2006/relationships/hyperlink" Target="http://www.actuaries.org/LIBRARY/Newsletters/2017-08/upcoming_events.html" TargetMode="External"/><Relationship Id="rId39" Type="http://schemas.openxmlformats.org/officeDocument/2006/relationships/hyperlink" Target="http://www.actuaries.org/index.cfm?lang=EN&amp;DSP=PUBLICATIONS&amp;ACT=DISCOUNT_RAT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hyperlink" Target="http://www.actuaries.org/LIBRARY/Newsletters/2017-08/upcoming_events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ctuaries.org/LIBRARY/Newsletters/2017-08/stakeholder_engagement.html" TargetMode="External"/><Relationship Id="rId12" Type="http://schemas.openxmlformats.org/officeDocument/2006/relationships/hyperlink" Target="http://www.actuaries.org/LIBRARY/Newsletters/2017-08/stakeholder_engagement.html" TargetMode="External"/><Relationship Id="rId17" Type="http://schemas.openxmlformats.org/officeDocument/2006/relationships/hyperlink" Target="http://www.actuaries.org/index.cfm?lang=EN&amp;DSP=PUBLICATIONS&amp;ACT=PUBLIC_STATEMENTS" TargetMode="External"/><Relationship Id="rId25" Type="http://schemas.openxmlformats.org/officeDocument/2006/relationships/hyperlink" Target="http://www.actuaries.org/barcelona2017/" TargetMode="External"/><Relationship Id="rId33" Type="http://schemas.openxmlformats.org/officeDocument/2006/relationships/hyperlink" Target="http://www.actuaries.org/LIBRARY/Newsletters/2017-08/upcoming_events.html" TargetMode="External"/><Relationship Id="rId38" Type="http://schemas.openxmlformats.org/officeDocument/2006/relationships/hyperlink" Target="http://www.actuaries.org/LIBRARY/Newsletters/2017-08/association_new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tuaries.org/LIBRARY/Newsletters/2017-08/committee_news.html" TargetMode="External"/><Relationship Id="rId20" Type="http://schemas.openxmlformats.org/officeDocument/2006/relationships/hyperlink" Target="http://www.actuaries.org/LIBRARY/Newsletters/2017_August.pdf" TargetMode="External"/><Relationship Id="rId29" Type="http://schemas.openxmlformats.org/officeDocument/2006/relationships/hyperlink" Target="http://www.actuaries.org/LIBRARY/Newsletters/2017-08/upcoming_events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png@01D32310.1FC85D30" TargetMode="External"/><Relationship Id="rId11" Type="http://schemas.openxmlformats.org/officeDocument/2006/relationships/hyperlink" Target="http://www.actuaries.org/LIBRARY/Newsletters/2017-08/stakeholder_engagement.html" TargetMode="External"/><Relationship Id="rId24" Type="http://schemas.openxmlformats.org/officeDocument/2006/relationships/hyperlink" Target="http://www.actuaries.org/LIBRARY/Newsletters/2017-08/upcoming_events.html" TargetMode="External"/><Relationship Id="rId32" Type="http://schemas.openxmlformats.org/officeDocument/2006/relationships/hyperlink" Target="http://www.actuaries.org/LIBRARY/Newsletters/2017-08/upcoming_events.html" TargetMode="External"/><Relationship Id="rId37" Type="http://schemas.openxmlformats.org/officeDocument/2006/relationships/hyperlink" Target="http://www.actuaries.org/LIBRARY/Newsletters/2017-08/association_news.html" TargetMode="External"/><Relationship Id="rId40" Type="http://schemas.openxmlformats.org/officeDocument/2006/relationships/hyperlink" Target="http://www.actuaries.org/index.cfm?lang=EN&amp;DSP=PUBLICATIONS&amp;ACT=STOCHASTI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actuaries.org/LIBRARY/Papers/HC_Personalised_Medicine_Paper_Final.pdf" TargetMode="External"/><Relationship Id="rId23" Type="http://schemas.openxmlformats.org/officeDocument/2006/relationships/hyperlink" Target="http://www.actuaries.org/LIBRARY/Newsletters/2017_August.pdf" TargetMode="External"/><Relationship Id="rId28" Type="http://schemas.openxmlformats.org/officeDocument/2006/relationships/hyperlink" Target="http://www.actuaries.org/LIBRARY/Newsletters/2017-08/upcoming_events.html" TargetMode="External"/><Relationship Id="rId36" Type="http://schemas.openxmlformats.org/officeDocument/2006/relationships/hyperlink" Target="http://www.actuaries.org/LIBRARY/Newsletters/2017-08/association_news.html" TargetMode="External"/><Relationship Id="rId10" Type="http://schemas.openxmlformats.org/officeDocument/2006/relationships/hyperlink" Target="http://www.actuaries.org/LIBRARY/Newsletters/2017-08/stakeholder_engagement.html" TargetMode="External"/><Relationship Id="rId19" Type="http://schemas.openxmlformats.org/officeDocument/2006/relationships/hyperlink" Target="http://www.actuaries.org/LIBRARY/Newsletters/2017-08/of_interest.html" TargetMode="External"/><Relationship Id="rId31" Type="http://schemas.openxmlformats.org/officeDocument/2006/relationships/hyperlink" Target="http://www.actuaries.org/LIBRARY/Newsletters/2017-08/upcoming_eve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tuaries.org/LIBRARY/Newsletters/2017-08/stakeholder_engagement.html" TargetMode="External"/><Relationship Id="rId14" Type="http://schemas.openxmlformats.org/officeDocument/2006/relationships/hyperlink" Target="http://www.actuaries.org/LIBRARY/Newsletters/2017-08/stakeholder_engagement.html" TargetMode="External"/><Relationship Id="rId22" Type="http://schemas.openxmlformats.org/officeDocument/2006/relationships/image" Target="cid:image002.jpg@01D32310.1FC85D30" TargetMode="External"/><Relationship Id="rId27" Type="http://schemas.openxmlformats.org/officeDocument/2006/relationships/hyperlink" Target="http://www.actuaries.org/LIBRARY/Newsletters/2017-08/upcoming_events.html" TargetMode="External"/><Relationship Id="rId30" Type="http://schemas.openxmlformats.org/officeDocument/2006/relationships/hyperlink" Target="http://www.actuaries.org/LIBRARY/Newsletters/2017-08/upcoming_events.html" TargetMode="External"/><Relationship Id="rId35" Type="http://schemas.openxmlformats.org/officeDocument/2006/relationships/hyperlink" Target="http://www.actuaries.org/LIBRARY/Newsletters/2017-08/association_news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Ziantoni</dc:creator>
  <cp:keywords/>
  <dc:description/>
  <cp:lastModifiedBy>Mario Ziantoni</cp:lastModifiedBy>
  <cp:revision>1</cp:revision>
  <cp:lastPrinted>2017-09-13T10:06:00Z</cp:lastPrinted>
  <dcterms:created xsi:type="dcterms:W3CDTF">2017-09-13T10:05:00Z</dcterms:created>
  <dcterms:modified xsi:type="dcterms:W3CDTF">2017-09-13T10:21:00Z</dcterms:modified>
</cp:coreProperties>
</file>