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CB62D" w14:textId="77777777" w:rsidR="009A795D" w:rsidRPr="0028633A" w:rsidRDefault="009A795D" w:rsidP="00691909">
      <w:pPr>
        <w:rPr>
          <w:rFonts w:ascii="Verdana" w:hAnsi="Verdana"/>
          <w:sz w:val="22"/>
          <w:szCs w:val="22"/>
          <w:lang w:val="it-IT"/>
        </w:rPr>
      </w:pPr>
    </w:p>
    <w:tbl>
      <w:tblPr>
        <w:tblW w:w="15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418"/>
        <w:gridCol w:w="1701"/>
        <w:gridCol w:w="11670"/>
      </w:tblGrid>
      <w:tr w:rsidR="00691909" w:rsidRPr="00C61BDF" w14:paraId="7E03CAF4" w14:textId="77777777" w:rsidTr="00623ACF">
        <w:tc>
          <w:tcPr>
            <w:tcW w:w="250" w:type="dxa"/>
            <w:tcBorders>
              <w:right w:val="nil"/>
            </w:tcBorders>
            <w:shd w:val="clear" w:color="auto" w:fill="1F497D"/>
          </w:tcPr>
          <w:p w14:paraId="0105D6C9" w14:textId="77777777" w:rsidR="00691909" w:rsidRPr="0028633A" w:rsidRDefault="00691909" w:rsidP="00623ACF">
            <w:pPr>
              <w:spacing w:before="120"/>
              <w:ind w:left="278"/>
              <w:jc w:val="center"/>
              <w:rPr>
                <w:rFonts w:ascii="Verdana" w:hAnsi="Verdana"/>
                <w:b/>
                <w:sz w:val="22"/>
                <w:szCs w:val="22"/>
                <w:lang w:val="it-IT"/>
              </w:rPr>
            </w:pPr>
          </w:p>
        </w:tc>
        <w:tc>
          <w:tcPr>
            <w:tcW w:w="14789" w:type="dxa"/>
            <w:gridSpan w:val="3"/>
            <w:tcBorders>
              <w:left w:val="nil"/>
              <w:right w:val="nil"/>
            </w:tcBorders>
            <w:shd w:val="clear" w:color="auto" w:fill="1F497D"/>
          </w:tcPr>
          <w:p w14:paraId="580D8900" w14:textId="7D23A935" w:rsidR="007730F3" w:rsidRPr="0028633A" w:rsidRDefault="00936056" w:rsidP="00936056">
            <w:pPr>
              <w:spacing w:before="120" w:after="120"/>
              <w:ind w:left="278" w:right="364"/>
              <w:jc w:val="center"/>
              <w:rPr>
                <w:rFonts w:ascii="Verdana" w:hAnsi="Verdana"/>
                <w:b/>
                <w:color w:val="FFFFFF"/>
                <w:sz w:val="22"/>
                <w:szCs w:val="22"/>
                <w:lang w:val="it-IT"/>
              </w:rPr>
            </w:pPr>
            <w:r w:rsidRPr="0028633A">
              <w:rPr>
                <w:rFonts w:ascii="Verdana" w:hAnsi="Verdana"/>
                <w:b/>
                <w:color w:val="FFFFFF"/>
                <w:sz w:val="22"/>
                <w:szCs w:val="22"/>
                <w:lang w:val="it-IT"/>
              </w:rPr>
              <w:t>DOCUMENTO DI CONSULTAZIONE N</w:t>
            </w:r>
            <w:r w:rsidR="00691909" w:rsidRPr="0028633A">
              <w:rPr>
                <w:rFonts w:ascii="Verdana" w:hAnsi="Verdana"/>
                <w:b/>
                <w:color w:val="FFFFFF"/>
                <w:sz w:val="22"/>
                <w:szCs w:val="22"/>
                <w:lang w:val="it-IT"/>
              </w:rPr>
              <w:t xml:space="preserve">. </w:t>
            </w:r>
            <w:r w:rsidR="000C6703">
              <w:rPr>
                <w:rFonts w:ascii="Verdana" w:hAnsi="Verdana"/>
                <w:b/>
                <w:color w:val="FFFFFF"/>
                <w:sz w:val="22"/>
                <w:szCs w:val="22"/>
                <w:lang w:val="it-IT"/>
              </w:rPr>
              <w:t>6</w:t>
            </w:r>
            <w:r w:rsidR="00855ED4">
              <w:rPr>
                <w:rFonts w:ascii="Verdana" w:hAnsi="Verdana"/>
                <w:b/>
                <w:color w:val="FFFFFF" w:themeColor="background1"/>
                <w:sz w:val="22"/>
                <w:szCs w:val="22"/>
                <w:lang w:val="it-IT"/>
              </w:rPr>
              <w:t>/</w:t>
            </w:r>
            <w:r w:rsidR="00691909" w:rsidRPr="0028633A">
              <w:rPr>
                <w:rFonts w:ascii="Verdana" w:hAnsi="Verdana"/>
                <w:b/>
                <w:color w:val="FFFFFF"/>
                <w:sz w:val="22"/>
                <w:szCs w:val="22"/>
                <w:lang w:val="it-IT"/>
              </w:rPr>
              <w:t>201</w:t>
            </w:r>
            <w:r w:rsidR="00BE780F">
              <w:rPr>
                <w:rFonts w:ascii="Verdana" w:hAnsi="Verdana"/>
                <w:b/>
                <w:color w:val="FFFFFF"/>
                <w:sz w:val="22"/>
                <w:szCs w:val="22"/>
                <w:lang w:val="it-IT"/>
              </w:rPr>
              <w:t>7</w:t>
            </w:r>
          </w:p>
          <w:p w14:paraId="1A4DB6BF" w14:textId="1C552DA6" w:rsidR="00936056" w:rsidRPr="00936056" w:rsidRDefault="00FF4723" w:rsidP="00936056">
            <w:pPr>
              <w:autoSpaceDE w:val="0"/>
              <w:autoSpaceDN w:val="0"/>
              <w:adjustRightInd w:val="0"/>
              <w:spacing w:after="120"/>
              <w:ind w:right="364"/>
              <w:jc w:val="both"/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val="it-IT" w:eastAsia="it-IT"/>
              </w:rPr>
            </w:pPr>
            <w:r w:rsidRPr="00FF4723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val="it-IT" w:eastAsia="it-IT"/>
              </w:rPr>
              <w:t xml:space="preserve">SCHEMA DI REGOLAMENTO IVASS RECANTE DISPOSIZIONI IN MATERIA DI REVISIONE ESTERNA DELL’INFORMATIVA AL </w:t>
            </w:r>
            <w:proofErr w:type="gramStart"/>
            <w:r w:rsidRPr="00FF4723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val="it-IT" w:eastAsia="it-IT"/>
              </w:rPr>
              <w:t>PUBBLICO  DI</w:t>
            </w:r>
            <w:proofErr w:type="gramEnd"/>
            <w:r w:rsidRPr="00FF4723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val="it-IT" w:eastAsia="it-IT"/>
              </w:rPr>
              <w:t xml:space="preserve"> CUI AGLI ARTICOLI 47-SEPTIES, COMMA 7 E 191, COMMA 1, LETTERA B), PUNTI 2 E 3 DEL DECRETO LEGISLATIVO 7 SETTEMBRE 2005, N. 209 – CODICE DELLE ASSICURAZIONI PRIVATE – MODIFICATO DAL DECRETO LEGISLATIVO 12 MAGGIO 2015, N. 74</w:t>
            </w:r>
            <w:r w:rsidR="003B6B18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val="it-IT" w:eastAsia="it-IT"/>
              </w:rPr>
              <w:t xml:space="preserve"> </w:t>
            </w:r>
            <w:r w:rsidR="003B6B18" w:rsidRPr="003B6B18">
              <w:rPr>
                <w:rFonts w:ascii="Verdana" w:hAnsi="Verdana" w:cs="Arial"/>
                <w:b/>
                <w:bCs/>
                <w:color w:val="FFFFFF"/>
                <w:sz w:val="22"/>
                <w:szCs w:val="22"/>
                <w:lang w:val="it-IT" w:eastAsia="it-IT"/>
              </w:rPr>
              <w:t>E DALLA LEGGE 4 AGOSTO 2017, N. 124</w:t>
            </w:r>
          </w:p>
          <w:p w14:paraId="012B87C2" w14:textId="77777777" w:rsidR="00691909" w:rsidRPr="0028633A" w:rsidRDefault="00691909" w:rsidP="00FF4723">
            <w:pPr>
              <w:autoSpaceDE w:val="0"/>
              <w:autoSpaceDN w:val="0"/>
              <w:adjustRightInd w:val="0"/>
              <w:spacing w:after="120"/>
              <w:ind w:right="364"/>
              <w:jc w:val="both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  <w:lang w:val="it-IT" w:eastAsia="it-IT"/>
              </w:rPr>
            </w:pPr>
          </w:p>
        </w:tc>
      </w:tr>
      <w:tr w:rsidR="00691909" w:rsidRPr="00C61BDF" w14:paraId="0AFAAA8A" w14:textId="77777777" w:rsidTr="00623ACF">
        <w:tc>
          <w:tcPr>
            <w:tcW w:w="150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8DFCA8" w14:textId="77777777" w:rsidR="00691909" w:rsidRPr="0028633A" w:rsidRDefault="00691909" w:rsidP="00623ACF">
            <w:pPr>
              <w:spacing w:before="120"/>
              <w:rPr>
                <w:rFonts w:ascii="Verdana" w:hAnsi="Verdana"/>
                <w:b/>
                <w:bCs/>
                <w:color w:val="000000"/>
                <w:sz w:val="22"/>
                <w:szCs w:val="22"/>
                <w:u w:val="single"/>
                <w:lang w:val="it-IT"/>
              </w:rPr>
            </w:pPr>
            <w:r w:rsidRPr="0028633A">
              <w:rPr>
                <w:rFonts w:ascii="Verdana" w:hAnsi="Verdana"/>
                <w:b/>
                <w:bCs/>
                <w:color w:val="000000"/>
                <w:sz w:val="22"/>
                <w:szCs w:val="22"/>
                <w:u w:val="single"/>
                <w:lang w:val="it-IT"/>
              </w:rPr>
              <w:t>Legenda</w:t>
            </w:r>
          </w:p>
          <w:p w14:paraId="4C22B4BD" w14:textId="77777777" w:rsidR="00691909" w:rsidRPr="0028633A" w:rsidRDefault="00691909" w:rsidP="00623ACF">
            <w:pPr>
              <w:spacing w:before="120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8633A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  <w:t>Nella riga “Commentatore” i singoli soggetti dovranno inserire la loro denominazione (anche in forma abbreviata).</w:t>
            </w:r>
          </w:p>
          <w:p w14:paraId="6A7C8C4D" w14:textId="77777777" w:rsidR="00691909" w:rsidRPr="0028633A" w:rsidRDefault="00691909" w:rsidP="00623ACF">
            <w:pPr>
              <w:spacing w:before="120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8633A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  <w:t>Nella riga “Osservazioni generali” i singoli soggetti potranno inserire commenti di carattere generale.</w:t>
            </w:r>
          </w:p>
          <w:p w14:paraId="471F576A" w14:textId="77777777" w:rsidR="00691909" w:rsidRPr="0028633A" w:rsidRDefault="00691909" w:rsidP="00623ACF">
            <w:pPr>
              <w:spacing w:before="120"/>
              <w:rPr>
                <w:rFonts w:ascii="Verdana" w:hAnsi="Verdana"/>
                <w:bCs/>
                <w:color w:val="000000"/>
                <w:sz w:val="22"/>
                <w:szCs w:val="22"/>
                <w:lang w:val="it-IT"/>
              </w:rPr>
            </w:pPr>
            <w:r w:rsidRPr="0028633A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  <w:t>Nelle colonne “Articolo” e “Comma” andranno inseriti, rispettivamente, l’articolo e il comma cui si riferisce l’osservazione e la proposta di modifica.</w:t>
            </w:r>
          </w:p>
          <w:p w14:paraId="18695780" w14:textId="77777777" w:rsidR="00691909" w:rsidRPr="0028633A" w:rsidRDefault="00691909" w:rsidP="00623ACF">
            <w:pPr>
              <w:spacing w:before="120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8633A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  <w:t>Nella colonna “Osservazioni e proposte” andranno inserite le osservazioni specifiche e le proposte di modifica.</w:t>
            </w:r>
          </w:p>
          <w:p w14:paraId="1C4E82BF" w14:textId="77777777" w:rsidR="00691909" w:rsidRPr="0028633A" w:rsidRDefault="00691909" w:rsidP="00623ACF">
            <w:pPr>
              <w:spacing w:before="120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691909" w:rsidRPr="0028633A" w14:paraId="687B603E" w14:textId="77777777" w:rsidTr="00623ACF">
        <w:tc>
          <w:tcPr>
            <w:tcW w:w="3369" w:type="dxa"/>
            <w:gridSpan w:val="3"/>
            <w:shd w:val="clear" w:color="auto" w:fill="F2F2F2"/>
            <w:vAlign w:val="center"/>
          </w:tcPr>
          <w:p w14:paraId="4D6D18BE" w14:textId="77777777" w:rsidR="00691909" w:rsidRPr="0028633A" w:rsidRDefault="00691909" w:rsidP="00623ACF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28633A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  <w:t>Commentatore</w:t>
            </w:r>
          </w:p>
          <w:p w14:paraId="6D5B1C18" w14:textId="77777777" w:rsidR="005835C5" w:rsidRPr="0028633A" w:rsidRDefault="005835C5" w:rsidP="00623ACF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670" w:type="dxa"/>
            <w:tcBorders>
              <w:bottom w:val="single" w:sz="4" w:space="0" w:color="auto"/>
            </w:tcBorders>
            <w:shd w:val="clear" w:color="auto" w:fill="FFFFFF"/>
          </w:tcPr>
          <w:p w14:paraId="5B51B436" w14:textId="77777777" w:rsidR="00691909" w:rsidRPr="0028633A" w:rsidRDefault="00691909" w:rsidP="00623ACF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it-IT"/>
              </w:rPr>
            </w:pPr>
          </w:p>
        </w:tc>
      </w:tr>
      <w:tr w:rsidR="00691909" w:rsidRPr="00C61BDF" w14:paraId="2E57A0DA" w14:textId="77777777" w:rsidTr="00623ACF">
        <w:trPr>
          <w:trHeight w:val="3782"/>
        </w:trPr>
        <w:tc>
          <w:tcPr>
            <w:tcW w:w="3369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028288D" w14:textId="77777777" w:rsidR="00691909" w:rsidRDefault="00691909" w:rsidP="00623ACF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lastRenderedPageBreak/>
              <w:t>Osservazioni generali</w:t>
            </w:r>
          </w:p>
        </w:tc>
        <w:tc>
          <w:tcPr>
            <w:tcW w:w="116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860887" w14:textId="25F1D655" w:rsidR="001D1F5D" w:rsidRPr="007055F9" w:rsidRDefault="00623ACF" w:rsidP="00534793">
            <w:pPr>
              <w:pStyle w:val="ListParagraph"/>
              <w:numPr>
                <w:ilvl w:val="0"/>
                <w:numId w:val="38"/>
              </w:numPr>
              <w:spacing w:before="120"/>
              <w:rPr>
                <w:rFonts w:asciiTheme="minorHAnsi" w:hAnsiTheme="minorHAnsi"/>
                <w:bCs/>
                <w:color w:val="000000"/>
                <w:szCs w:val="20"/>
                <w:lang w:val="it-IT"/>
              </w:rPr>
            </w:pPr>
            <w:r w:rsidRPr="007055F9">
              <w:rPr>
                <w:rFonts w:asciiTheme="minorHAnsi" w:hAnsiTheme="minorHAnsi"/>
                <w:bCs/>
                <w:color w:val="000000"/>
                <w:szCs w:val="20"/>
                <w:lang w:val="it-IT"/>
              </w:rPr>
              <w:t xml:space="preserve">In riferimento a quanto </w:t>
            </w:r>
            <w:r w:rsidR="001D1F5D" w:rsidRPr="007055F9">
              <w:rPr>
                <w:rFonts w:asciiTheme="minorHAnsi" w:hAnsiTheme="minorHAnsi"/>
                <w:bCs/>
                <w:color w:val="000000"/>
                <w:szCs w:val="20"/>
                <w:lang w:val="it-IT"/>
              </w:rPr>
              <w:t>riportato al punto 3.1 della Relazione di pre</w:t>
            </w:r>
            <w:r w:rsidRPr="007055F9">
              <w:rPr>
                <w:rFonts w:asciiTheme="minorHAnsi" w:hAnsiTheme="minorHAnsi"/>
                <w:bCs/>
                <w:color w:val="000000"/>
                <w:szCs w:val="20"/>
                <w:lang w:val="it-IT"/>
              </w:rPr>
              <w:t xml:space="preserve">sentazione, </w:t>
            </w:r>
            <w:r w:rsidR="001D1F5D" w:rsidRPr="007055F9">
              <w:rPr>
                <w:rFonts w:asciiTheme="minorHAnsi" w:hAnsiTheme="minorHAnsi"/>
                <w:bCs/>
                <w:color w:val="000000"/>
                <w:szCs w:val="20"/>
                <w:lang w:val="it-IT"/>
              </w:rPr>
              <w:t>si chiede di fornire maggiori dettagli, ai fini di una migliore interpretazione del dettato normativo,</w:t>
            </w:r>
            <w:r w:rsidRPr="007055F9">
              <w:rPr>
                <w:rFonts w:asciiTheme="minorHAnsi" w:hAnsiTheme="minorHAnsi"/>
                <w:bCs/>
                <w:color w:val="000000"/>
                <w:szCs w:val="20"/>
                <w:lang w:val="it-IT"/>
              </w:rPr>
              <w:t xml:space="preserve"> in merito ai </w:t>
            </w:r>
            <w:r w:rsidR="001D1F5D" w:rsidRPr="007055F9">
              <w:rPr>
                <w:rFonts w:asciiTheme="minorHAnsi" w:hAnsiTheme="minorHAnsi"/>
                <w:bCs/>
                <w:color w:val="000000"/>
                <w:szCs w:val="20"/>
                <w:lang w:val="it-IT"/>
              </w:rPr>
              <w:t>“</w:t>
            </w:r>
            <w:r w:rsidR="001D1F5D" w:rsidRPr="007055F9">
              <w:rPr>
                <w:rFonts w:asciiTheme="minorHAnsi" w:hAnsiTheme="minorHAnsi"/>
                <w:bCs/>
                <w:i/>
                <w:color w:val="000000"/>
                <w:szCs w:val="20"/>
                <w:lang w:val="it-IT"/>
              </w:rPr>
              <w:t>principi chiari e condivisi anche a livello europeo su cui fondare l’attività di revisione</w:t>
            </w:r>
            <w:r w:rsidRPr="007055F9">
              <w:rPr>
                <w:rFonts w:asciiTheme="minorHAnsi" w:hAnsiTheme="minorHAnsi"/>
                <w:bCs/>
                <w:color w:val="000000"/>
                <w:szCs w:val="20"/>
                <w:lang w:val="it-IT"/>
              </w:rPr>
              <w:t>”</w:t>
            </w:r>
            <w:r w:rsidR="001D1F5D" w:rsidRPr="007055F9">
              <w:rPr>
                <w:rFonts w:asciiTheme="minorHAnsi" w:hAnsiTheme="minorHAnsi"/>
                <w:bCs/>
                <w:color w:val="000000"/>
                <w:szCs w:val="20"/>
                <w:lang w:val="it-IT"/>
              </w:rPr>
              <w:t xml:space="preserve"> nonché </w:t>
            </w:r>
            <w:r w:rsidRPr="007055F9">
              <w:rPr>
                <w:rFonts w:asciiTheme="minorHAnsi" w:hAnsiTheme="minorHAnsi"/>
                <w:bCs/>
                <w:color w:val="000000"/>
                <w:szCs w:val="20"/>
                <w:lang w:val="it-IT"/>
              </w:rPr>
              <w:t>sul “</w:t>
            </w:r>
            <w:r w:rsidR="001D1F5D" w:rsidRPr="007055F9">
              <w:rPr>
                <w:rFonts w:asciiTheme="minorHAnsi" w:hAnsiTheme="minorHAnsi"/>
                <w:bCs/>
                <w:i/>
                <w:color w:val="000000"/>
                <w:szCs w:val="20"/>
                <w:lang w:val="it-IT"/>
              </w:rPr>
              <w:t>livello complessivo di profondità e pervasività delle procedure di revisione</w:t>
            </w:r>
            <w:r w:rsidRPr="007055F9">
              <w:rPr>
                <w:rFonts w:asciiTheme="minorHAnsi" w:hAnsiTheme="minorHAnsi"/>
                <w:bCs/>
                <w:color w:val="000000"/>
                <w:szCs w:val="20"/>
                <w:lang w:val="it-IT"/>
              </w:rPr>
              <w:t>” emerso</w:t>
            </w:r>
            <w:r w:rsidR="001D1F5D" w:rsidRPr="007055F9">
              <w:rPr>
                <w:rFonts w:asciiTheme="minorHAnsi" w:hAnsiTheme="minorHAnsi"/>
                <w:bCs/>
                <w:color w:val="000000"/>
                <w:szCs w:val="20"/>
                <w:lang w:val="it-IT"/>
              </w:rPr>
              <w:t xml:space="preserve"> dal confronto con l’associazione di categoria dei revisori. </w:t>
            </w:r>
          </w:p>
          <w:p w14:paraId="28004B5B" w14:textId="7D11FBBE" w:rsidR="00691909" w:rsidRPr="00C61BDF" w:rsidRDefault="007055F9" w:rsidP="00705AF4">
            <w:pPr>
              <w:pStyle w:val="ListParagraph"/>
              <w:numPr>
                <w:ilvl w:val="0"/>
                <w:numId w:val="38"/>
              </w:numPr>
              <w:spacing w:before="120"/>
              <w:rPr>
                <w:rFonts w:asciiTheme="minorHAnsi" w:hAnsiTheme="minorHAnsi"/>
                <w:bCs/>
                <w:color w:val="000000"/>
                <w:szCs w:val="20"/>
                <w:lang w:val="it-IT"/>
              </w:rPr>
            </w:pPr>
            <w:r w:rsidRPr="007055F9">
              <w:rPr>
                <w:rStyle w:val="tl8wme"/>
                <w:rFonts w:asciiTheme="minorHAnsi" w:hAnsiTheme="minorHAnsi" w:cs="Arial"/>
                <w:color w:val="263238"/>
                <w:szCs w:val="20"/>
                <w:lang w:val="it-IT"/>
              </w:rPr>
              <w:t>Si richiede all’Istituto di favorire i presupposti affinché l’attività di revisione possa essere svolta in continuità durante tutto l'anno</w:t>
            </w:r>
            <w:r w:rsidR="00705AF4">
              <w:rPr>
                <w:rStyle w:val="tl8wme"/>
                <w:rFonts w:asciiTheme="minorHAnsi" w:hAnsiTheme="minorHAnsi" w:cs="Arial"/>
                <w:color w:val="263238"/>
                <w:szCs w:val="20"/>
                <w:lang w:val="it-IT"/>
              </w:rPr>
              <w:t>, con particolare attenzione ad alcune specifiche attività come ad esempio verifiche su processi e metodologie</w:t>
            </w:r>
            <w:r>
              <w:rPr>
                <w:rStyle w:val="tl8wme"/>
                <w:rFonts w:asciiTheme="minorHAnsi" w:hAnsiTheme="minorHAnsi" w:cs="Arial"/>
                <w:color w:val="263238"/>
                <w:szCs w:val="20"/>
                <w:lang w:val="it-IT"/>
              </w:rPr>
              <w:t>, salvaguardando in ogni caso un congruo livello di verifica relativo ai risultati ottenuti alla data di bilancio.</w:t>
            </w:r>
          </w:p>
        </w:tc>
      </w:tr>
      <w:tr w:rsidR="00691909" w:rsidRPr="00C61BDF" w14:paraId="2F31083B" w14:textId="77777777" w:rsidTr="00623ACF">
        <w:tc>
          <w:tcPr>
            <w:tcW w:w="150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17365D"/>
          </w:tcPr>
          <w:p w14:paraId="72C29DEA" w14:textId="1D8ED0B3" w:rsidR="00691909" w:rsidRPr="001F18C8" w:rsidRDefault="00691909" w:rsidP="00623ACF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691909" w:rsidRPr="001F18C8" w14:paraId="2738D66E" w14:textId="77777777" w:rsidTr="00623ACF">
        <w:tc>
          <w:tcPr>
            <w:tcW w:w="1668" w:type="dxa"/>
            <w:gridSpan w:val="2"/>
            <w:shd w:val="clear" w:color="auto" w:fill="F2F2F2"/>
            <w:vAlign w:val="center"/>
          </w:tcPr>
          <w:p w14:paraId="07157A68" w14:textId="77777777" w:rsidR="00691909" w:rsidRPr="008933FF" w:rsidRDefault="00691909" w:rsidP="00623ACF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Articolo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E059962" w14:textId="77777777" w:rsidR="00691909" w:rsidRPr="008933FF" w:rsidRDefault="00691909" w:rsidP="00623ACF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933F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Comma</w:t>
            </w:r>
          </w:p>
        </w:tc>
        <w:tc>
          <w:tcPr>
            <w:tcW w:w="11670" w:type="dxa"/>
            <w:shd w:val="clear" w:color="auto" w:fill="F2F2F2"/>
            <w:vAlign w:val="center"/>
          </w:tcPr>
          <w:p w14:paraId="17DA27E2" w14:textId="77777777" w:rsidR="00691909" w:rsidRPr="008933FF" w:rsidRDefault="00691909" w:rsidP="00623ACF">
            <w:pPr>
              <w:spacing w:before="120"/>
              <w:ind w:left="-392" w:firstLine="392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8933FF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Osservazioni e proposte</w:t>
            </w:r>
          </w:p>
        </w:tc>
      </w:tr>
      <w:tr w:rsidR="00691909" w:rsidRPr="00C61BDF" w14:paraId="24C80DD5" w14:textId="77777777" w:rsidTr="00250EEA">
        <w:trPr>
          <w:trHeight w:val="43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FED2" w14:textId="5B691F30" w:rsidR="00691909" w:rsidRPr="001F18C8" w:rsidRDefault="00A055A9" w:rsidP="00250EEA">
            <w:pPr>
              <w:spacing w:before="12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t-I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955B" w14:textId="6D272B2B" w:rsidR="00691909" w:rsidRPr="001F18C8" w:rsidRDefault="00A055A9" w:rsidP="00250EEA">
            <w:pPr>
              <w:pStyle w:val="CommentText"/>
              <w:tabs>
                <w:tab w:val="left" w:pos="34"/>
              </w:tabs>
              <w:jc w:val="center"/>
              <w:rPr>
                <w:rFonts w:ascii="Verdana" w:hAnsi="Verdana"/>
                <w:i/>
                <w:color w:val="000000"/>
                <w:lang w:val="it-IT"/>
              </w:rPr>
            </w:pPr>
            <w:r>
              <w:rPr>
                <w:rFonts w:ascii="Verdana" w:hAnsi="Verdana"/>
                <w:i/>
                <w:color w:val="000000"/>
                <w:lang w:val="it-IT"/>
              </w:rPr>
              <w:t>1.c</w:t>
            </w:r>
          </w:p>
        </w:tc>
        <w:tc>
          <w:tcPr>
            <w:tcW w:w="1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0B87" w14:textId="7333935D" w:rsidR="009E7C14" w:rsidRPr="00250EEA" w:rsidRDefault="00A055A9" w:rsidP="00A055A9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250EEA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Non si riscontra alcun riferimento relativo alle revisione esterna nel caso dell’applicazione dei parametri specifici per il calcolo del SCR.</w:t>
            </w:r>
          </w:p>
          <w:p w14:paraId="3D70A072" w14:textId="6E574A2E" w:rsidR="009526EC" w:rsidRPr="001F18C8" w:rsidRDefault="009526EC" w:rsidP="00A055A9">
            <w:pPr>
              <w:spacing w:before="120"/>
              <w:rPr>
                <w:rFonts w:ascii="Verdana" w:hAnsi="Verdana"/>
                <w:bCs/>
                <w:color w:val="000000"/>
                <w:sz w:val="20"/>
                <w:szCs w:val="20"/>
                <w:highlight w:val="yellow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Si richiede all’Istituto di menzionare all’interno del Regolamento le attività di revisione da effettuare nel caso di utilizzo da parte delle compagnie di Formula Standard con </w:t>
            </w:r>
            <w:proofErr w:type="spellStart"/>
            <w:r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Undertaking</w:t>
            </w:r>
            <w:proofErr w:type="spellEnd"/>
            <w:r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Specific</w:t>
            </w:r>
            <w:proofErr w:type="spellEnd"/>
            <w:r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Parameters</w:t>
            </w:r>
            <w:proofErr w:type="spellEnd"/>
            <w:r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.</w:t>
            </w:r>
          </w:p>
        </w:tc>
      </w:tr>
    </w:tbl>
    <w:p w14:paraId="697EA08B" w14:textId="77777777" w:rsidR="00691909" w:rsidRDefault="00691909" w:rsidP="00691909">
      <w:pPr>
        <w:spacing w:before="120"/>
        <w:jc w:val="both"/>
        <w:rPr>
          <w:rFonts w:ascii="Verdana" w:hAnsi="Verdana"/>
          <w:sz w:val="20"/>
          <w:szCs w:val="20"/>
          <w:lang w:val="it-IT"/>
        </w:rPr>
      </w:pPr>
    </w:p>
    <w:p w14:paraId="32587E3C" w14:textId="77777777" w:rsidR="008A1D1E" w:rsidRDefault="008A1D1E" w:rsidP="00691909">
      <w:pPr>
        <w:spacing w:before="120"/>
        <w:jc w:val="both"/>
        <w:rPr>
          <w:rFonts w:ascii="Verdana" w:hAnsi="Verdana"/>
          <w:sz w:val="20"/>
          <w:szCs w:val="20"/>
          <w:lang w:val="it-IT"/>
        </w:rPr>
      </w:pPr>
    </w:p>
    <w:p w14:paraId="07EF9D44" w14:textId="77777777" w:rsidR="008A1D1E" w:rsidRDefault="008A1D1E" w:rsidP="00691909">
      <w:pPr>
        <w:spacing w:before="120"/>
        <w:jc w:val="both"/>
        <w:rPr>
          <w:rFonts w:ascii="Verdana" w:hAnsi="Verdana"/>
          <w:sz w:val="20"/>
          <w:szCs w:val="20"/>
          <w:lang w:val="it-IT"/>
        </w:rPr>
      </w:pPr>
    </w:p>
    <w:p w14:paraId="0E70E889" w14:textId="77777777" w:rsidR="008A1D1E" w:rsidRDefault="008A1D1E" w:rsidP="00691909">
      <w:pPr>
        <w:spacing w:before="120"/>
        <w:jc w:val="both"/>
        <w:rPr>
          <w:rFonts w:ascii="Verdana" w:hAnsi="Verdana"/>
          <w:sz w:val="20"/>
          <w:szCs w:val="20"/>
          <w:lang w:val="it-IT"/>
        </w:rPr>
      </w:pPr>
    </w:p>
    <w:p w14:paraId="1C959767" w14:textId="77777777" w:rsidR="008A1D1E" w:rsidRDefault="008A1D1E" w:rsidP="00691909">
      <w:pPr>
        <w:spacing w:before="120"/>
        <w:jc w:val="both"/>
        <w:rPr>
          <w:rFonts w:ascii="Verdana" w:hAnsi="Verdana"/>
          <w:sz w:val="20"/>
          <w:szCs w:val="20"/>
          <w:lang w:val="it-IT"/>
        </w:rPr>
      </w:pPr>
    </w:p>
    <w:p w14:paraId="31DE16C5" w14:textId="77777777" w:rsidR="008A1D1E" w:rsidRPr="001F18C8" w:rsidRDefault="008A1D1E" w:rsidP="00691909">
      <w:pPr>
        <w:spacing w:before="120"/>
        <w:jc w:val="both"/>
        <w:rPr>
          <w:rFonts w:ascii="Verdana" w:hAnsi="Verdana"/>
          <w:sz w:val="20"/>
          <w:szCs w:val="20"/>
          <w:lang w:val="it-IT"/>
        </w:rPr>
      </w:pPr>
    </w:p>
    <w:tbl>
      <w:tblPr>
        <w:tblStyle w:val="TableGrid"/>
        <w:tblW w:w="15168" w:type="dxa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3685"/>
        <w:gridCol w:w="4961"/>
        <w:gridCol w:w="2127"/>
      </w:tblGrid>
      <w:tr w:rsidR="0013279A" w:rsidRPr="006751CA" w14:paraId="1088CA5B" w14:textId="77777777" w:rsidTr="00D92CD9">
        <w:tc>
          <w:tcPr>
            <w:tcW w:w="1560" w:type="dxa"/>
            <w:vAlign w:val="center"/>
          </w:tcPr>
          <w:p w14:paraId="7C43B05C" w14:textId="5FFFFB2E" w:rsidR="00E56430" w:rsidRPr="00E56430" w:rsidRDefault="00E56430" w:rsidP="00E56430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E56430">
              <w:rPr>
                <w:rFonts w:ascii="Verdana" w:hAnsi="Verdana"/>
                <w:b/>
                <w:sz w:val="20"/>
                <w:szCs w:val="20"/>
                <w:lang w:val="it-IT"/>
              </w:rPr>
              <w:lastRenderedPageBreak/>
              <w:t>Opzioni</w:t>
            </w:r>
          </w:p>
        </w:tc>
        <w:tc>
          <w:tcPr>
            <w:tcW w:w="2835" w:type="dxa"/>
            <w:vAlign w:val="center"/>
          </w:tcPr>
          <w:p w14:paraId="4BD1A2D8" w14:textId="2B2CB366" w:rsidR="00E56430" w:rsidRPr="00E56430" w:rsidRDefault="00E56430" w:rsidP="00E56430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E56430">
              <w:rPr>
                <w:rFonts w:ascii="Verdana" w:hAnsi="Verdana"/>
                <w:b/>
                <w:sz w:val="20"/>
                <w:szCs w:val="20"/>
                <w:lang w:val="it-IT"/>
              </w:rPr>
              <w:t>Vantaggi</w:t>
            </w:r>
          </w:p>
        </w:tc>
        <w:tc>
          <w:tcPr>
            <w:tcW w:w="3685" w:type="dxa"/>
            <w:vAlign w:val="center"/>
          </w:tcPr>
          <w:p w14:paraId="44612830" w14:textId="08A48376" w:rsidR="00E56430" w:rsidRPr="00E56430" w:rsidRDefault="00E56430" w:rsidP="00E56430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E56430">
              <w:rPr>
                <w:rFonts w:ascii="Verdana" w:hAnsi="Verdana"/>
                <w:b/>
                <w:sz w:val="20"/>
                <w:szCs w:val="20"/>
                <w:lang w:val="it-IT"/>
              </w:rPr>
              <w:t>Svantaggi</w:t>
            </w:r>
          </w:p>
        </w:tc>
        <w:tc>
          <w:tcPr>
            <w:tcW w:w="4961" w:type="dxa"/>
            <w:vAlign w:val="center"/>
          </w:tcPr>
          <w:p w14:paraId="5E4F8C9B" w14:textId="2A30C557" w:rsidR="00E56430" w:rsidRPr="00E56430" w:rsidRDefault="00E56430" w:rsidP="00E56430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E56430">
              <w:rPr>
                <w:rFonts w:ascii="Verdana" w:hAnsi="Verdana"/>
                <w:b/>
                <w:sz w:val="20"/>
                <w:szCs w:val="20"/>
                <w:lang w:val="it-IT"/>
              </w:rPr>
              <w:t>Soluzione preferita con motivazione</w:t>
            </w:r>
            <w:r w:rsidR="006751CA">
              <w:rPr>
                <w:rFonts w:ascii="Verdana" w:hAnsi="Verdana"/>
                <w:b/>
                <w:sz w:val="20"/>
                <w:szCs w:val="20"/>
                <w:lang w:val="it-IT"/>
              </w:rPr>
              <w:t xml:space="preserve"> (una sola soluzione consentita)</w:t>
            </w:r>
          </w:p>
        </w:tc>
        <w:tc>
          <w:tcPr>
            <w:tcW w:w="2127" w:type="dxa"/>
            <w:vAlign w:val="center"/>
          </w:tcPr>
          <w:p w14:paraId="13BA4F57" w14:textId="77777777" w:rsidR="00E56430" w:rsidRDefault="00E56430" w:rsidP="00E56430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 w:rsidRPr="00E56430">
              <w:rPr>
                <w:rFonts w:ascii="Verdana" w:hAnsi="Verdana"/>
                <w:b/>
                <w:sz w:val="20"/>
                <w:szCs w:val="20"/>
                <w:lang w:val="it-IT"/>
              </w:rPr>
              <w:t>Costi stimati</w:t>
            </w:r>
          </w:p>
          <w:p w14:paraId="2CD207FA" w14:textId="4158D8D3" w:rsidR="00250EEA" w:rsidRPr="00E56430" w:rsidRDefault="006751CA" w:rsidP="00E56430">
            <w:pPr>
              <w:spacing w:before="120"/>
              <w:jc w:val="center"/>
              <w:rPr>
                <w:rFonts w:ascii="Verdana" w:hAnsi="Verdana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(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>almeno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  <w:lang w:val="it-IT"/>
              </w:rPr>
              <w:t xml:space="preserve"> per la soluzione scelta)</w:t>
            </w:r>
          </w:p>
        </w:tc>
      </w:tr>
      <w:tr w:rsidR="006D1066" w:rsidRPr="00C61BDF" w14:paraId="3D56087A" w14:textId="77777777" w:rsidTr="00D92CD9">
        <w:tc>
          <w:tcPr>
            <w:tcW w:w="1560" w:type="dxa"/>
            <w:vAlign w:val="center"/>
          </w:tcPr>
          <w:p w14:paraId="6AC7B1F0" w14:textId="6C07D4E5" w:rsidR="00E56430" w:rsidRDefault="00E56430" w:rsidP="00E56430">
            <w:pPr>
              <w:spacing w:before="120"/>
              <w:jc w:val="center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OPZIONE 1</w:t>
            </w:r>
          </w:p>
        </w:tc>
        <w:tc>
          <w:tcPr>
            <w:tcW w:w="2835" w:type="dxa"/>
            <w:vAlign w:val="center"/>
          </w:tcPr>
          <w:p w14:paraId="0A023CD3" w14:textId="77777777" w:rsidR="00E56430" w:rsidRDefault="00E56430" w:rsidP="00E56430">
            <w:pPr>
              <w:spacing w:before="120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vAlign w:val="center"/>
          </w:tcPr>
          <w:p w14:paraId="19BB1935" w14:textId="2F6E0133" w:rsidR="00E56430" w:rsidRDefault="00E56430" w:rsidP="0013279A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- Si introducono esenzioni nell’ambito soggettivo di applicazione sulla base del metodo di calcolo utilizzato (</w:t>
            </w:r>
            <w:r w:rsidR="005A520B">
              <w:rPr>
                <w:rFonts w:ascii="Verdana" w:hAnsi="Verdana"/>
                <w:sz w:val="20"/>
                <w:szCs w:val="20"/>
                <w:lang w:val="it-IT"/>
              </w:rPr>
              <w:t xml:space="preserve">ossia 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le verifiche </w:t>
            </w:r>
            <w:r w:rsidR="006751CA">
              <w:rPr>
                <w:rFonts w:ascii="Verdana" w:hAnsi="Verdana"/>
                <w:sz w:val="20"/>
                <w:szCs w:val="20"/>
                <w:lang w:val="it-IT"/>
              </w:rPr>
              <w:t xml:space="preserve">previste dalla lettera al mercato 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sono previste solo per la SF)</w:t>
            </w:r>
          </w:p>
          <w:p w14:paraId="12E42F37" w14:textId="6824B007" w:rsidR="00E56430" w:rsidRDefault="00E56430" w:rsidP="006751CA">
            <w:pPr>
              <w:spacing w:before="120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- Sulla base dell’esperienza del 2016, le verifiche sul SCR</w:t>
            </w:r>
            <w:r w:rsidR="006751CA">
              <w:rPr>
                <w:rFonts w:ascii="Verdana" w:hAnsi="Verdana"/>
                <w:sz w:val="20"/>
                <w:szCs w:val="20"/>
                <w:lang w:val="it-IT"/>
              </w:rPr>
              <w:t>, come da lettera al mercato,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sono state applicate in modo disomogeneo sul mercato. </w:t>
            </w:r>
          </w:p>
        </w:tc>
        <w:tc>
          <w:tcPr>
            <w:tcW w:w="4961" w:type="dxa"/>
            <w:vAlign w:val="center"/>
          </w:tcPr>
          <w:p w14:paraId="56F40C2C" w14:textId="77777777" w:rsidR="00E56430" w:rsidRDefault="00E56430" w:rsidP="00E56430">
            <w:pPr>
              <w:spacing w:before="120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vAlign w:val="center"/>
          </w:tcPr>
          <w:p w14:paraId="6B83E0DA" w14:textId="69C32CEB" w:rsidR="00250EEA" w:rsidRDefault="00250EEA" w:rsidP="00E56430">
            <w:pPr>
              <w:spacing w:before="120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2969FD" w14:paraId="0651BF43" w14:textId="77777777" w:rsidTr="00D92CD9">
        <w:tc>
          <w:tcPr>
            <w:tcW w:w="1560" w:type="dxa"/>
            <w:vAlign w:val="center"/>
          </w:tcPr>
          <w:p w14:paraId="288FFEC6" w14:textId="5E148B99" w:rsidR="00250EEA" w:rsidRDefault="00250EEA" w:rsidP="00250EEA">
            <w:pPr>
              <w:spacing w:before="120"/>
              <w:jc w:val="center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OPZIONE 2</w:t>
            </w:r>
          </w:p>
        </w:tc>
        <w:tc>
          <w:tcPr>
            <w:tcW w:w="2835" w:type="dxa"/>
            <w:vAlign w:val="center"/>
          </w:tcPr>
          <w:p w14:paraId="372DAC3A" w14:textId="77777777" w:rsidR="00250EEA" w:rsidRDefault="00250EEA" w:rsidP="00250EEA">
            <w:pPr>
              <w:spacing w:before="120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685" w:type="dxa"/>
            <w:vAlign w:val="center"/>
          </w:tcPr>
          <w:p w14:paraId="6E34ECAF" w14:textId="77777777" w:rsidR="00250EEA" w:rsidRDefault="00250EEA" w:rsidP="00250EEA">
            <w:pPr>
              <w:spacing w:before="120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4961" w:type="dxa"/>
            <w:vAlign w:val="center"/>
          </w:tcPr>
          <w:p w14:paraId="7F68D794" w14:textId="77777777" w:rsidR="00250EEA" w:rsidRDefault="00250EEA" w:rsidP="00250EEA">
            <w:pPr>
              <w:spacing w:before="120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2127" w:type="dxa"/>
            <w:vAlign w:val="center"/>
          </w:tcPr>
          <w:p w14:paraId="74233915" w14:textId="38693C60" w:rsidR="00250EEA" w:rsidRDefault="00250EEA" w:rsidP="00250EEA">
            <w:pPr>
              <w:spacing w:before="120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13279A" w:rsidRPr="00C61BDF" w14:paraId="12D98131" w14:textId="77777777" w:rsidTr="00D92CD9">
        <w:tc>
          <w:tcPr>
            <w:tcW w:w="1560" w:type="dxa"/>
            <w:vAlign w:val="center"/>
          </w:tcPr>
          <w:p w14:paraId="09231EB9" w14:textId="213004C8" w:rsidR="00250EEA" w:rsidRDefault="00250EEA" w:rsidP="00250EEA">
            <w:pPr>
              <w:spacing w:before="120"/>
              <w:jc w:val="center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OPZIONE 3</w:t>
            </w:r>
          </w:p>
        </w:tc>
        <w:tc>
          <w:tcPr>
            <w:tcW w:w="2835" w:type="dxa"/>
            <w:vAlign w:val="center"/>
          </w:tcPr>
          <w:p w14:paraId="235E4739" w14:textId="72437A1B" w:rsidR="00250EEA" w:rsidRDefault="002969FD" w:rsidP="00250EEA">
            <w:pPr>
              <w:spacing w:before="120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All’aumentare della complessità dell’approccio valutativo, l’attività di revisione viene effettuata in maniera maggiormente approfondita, rispettando una logica di proporzionalità (nelle Opzioni 1 e 2 le società che adottano Modello Interno vedrebbero revisionato solo il MVBS).</w:t>
            </w:r>
          </w:p>
        </w:tc>
        <w:tc>
          <w:tcPr>
            <w:tcW w:w="3685" w:type="dxa"/>
            <w:vAlign w:val="center"/>
          </w:tcPr>
          <w:p w14:paraId="72DF0908" w14:textId="77777777" w:rsidR="00250EEA" w:rsidRDefault="00250EEA" w:rsidP="00250EEA">
            <w:pPr>
              <w:spacing w:before="120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4961" w:type="dxa"/>
            <w:vAlign w:val="center"/>
          </w:tcPr>
          <w:p w14:paraId="4057F5C0" w14:textId="740E821F" w:rsidR="00250EEA" w:rsidRDefault="00250EEA" w:rsidP="0013279A">
            <w:pPr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La soluzione preferita è l’opzione 3 perché:</w:t>
            </w:r>
          </w:p>
          <w:p w14:paraId="2DB4BF62" w14:textId="3D1EEADB" w:rsidR="00250EEA" w:rsidRPr="00FC76DB" w:rsidRDefault="005A520B" w:rsidP="0013279A">
            <w:pPr>
              <w:pStyle w:val="ListParagraph"/>
              <w:numPr>
                <w:ilvl w:val="0"/>
                <w:numId w:val="40"/>
              </w:numPr>
              <w:ind w:left="714" w:hanging="357"/>
              <w:rPr>
                <w:rFonts w:ascii="Verdana" w:hAnsi="Verdana"/>
                <w:sz w:val="20"/>
                <w:szCs w:val="20"/>
                <w:lang w:val="it-IT"/>
              </w:rPr>
            </w:pPr>
            <w:proofErr w:type="gramStart"/>
            <w:r w:rsidRPr="00FC76DB">
              <w:rPr>
                <w:rFonts w:ascii="Verdana" w:hAnsi="Verdana"/>
                <w:sz w:val="20"/>
                <w:szCs w:val="20"/>
                <w:lang w:val="it-IT"/>
              </w:rPr>
              <w:t>garantirebbe</w:t>
            </w:r>
            <w:proofErr w:type="gramEnd"/>
            <w:r w:rsidRPr="00FC76DB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="00250EEA" w:rsidRPr="00FC76DB">
              <w:rPr>
                <w:rFonts w:ascii="Verdana" w:hAnsi="Verdana"/>
                <w:sz w:val="20"/>
                <w:szCs w:val="20"/>
                <w:lang w:val="it-IT"/>
              </w:rPr>
              <w:t xml:space="preserve">maggiore completezza nella revisione esterna del numeratore e del denominatore del </w:t>
            </w:r>
            <w:proofErr w:type="spellStart"/>
            <w:r w:rsidR="00250EEA" w:rsidRPr="00FC76DB">
              <w:rPr>
                <w:rFonts w:ascii="Verdana" w:hAnsi="Verdana"/>
                <w:sz w:val="20"/>
                <w:szCs w:val="20"/>
                <w:lang w:val="it-IT"/>
              </w:rPr>
              <w:t>Solvency</w:t>
            </w:r>
            <w:proofErr w:type="spellEnd"/>
            <w:r w:rsidR="00250EEA" w:rsidRPr="00FC76DB">
              <w:rPr>
                <w:rFonts w:ascii="Verdana" w:hAnsi="Verdana"/>
                <w:sz w:val="20"/>
                <w:szCs w:val="20"/>
                <w:lang w:val="it-IT"/>
              </w:rPr>
              <w:t xml:space="preserve"> Ratio </w:t>
            </w:r>
          </w:p>
          <w:p w14:paraId="24C7BF2F" w14:textId="63514159" w:rsidR="00250EEA" w:rsidRPr="00FC76DB" w:rsidRDefault="005A520B" w:rsidP="0013279A">
            <w:pPr>
              <w:pStyle w:val="ListParagraph"/>
              <w:numPr>
                <w:ilvl w:val="0"/>
                <w:numId w:val="40"/>
              </w:numPr>
              <w:ind w:left="714" w:hanging="357"/>
              <w:rPr>
                <w:rFonts w:ascii="Verdana" w:hAnsi="Verdana"/>
                <w:sz w:val="20"/>
                <w:szCs w:val="20"/>
                <w:lang w:val="it-IT"/>
              </w:rPr>
            </w:pPr>
            <w:proofErr w:type="gramStart"/>
            <w:r w:rsidRPr="00FC76DB">
              <w:rPr>
                <w:rFonts w:ascii="Verdana" w:hAnsi="Verdana"/>
                <w:sz w:val="20"/>
                <w:szCs w:val="20"/>
                <w:lang w:val="it-IT"/>
              </w:rPr>
              <w:t>non</w:t>
            </w:r>
            <w:proofErr w:type="gramEnd"/>
            <w:r w:rsidRPr="00FC76DB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="00250EEA" w:rsidRPr="00FC76DB">
              <w:rPr>
                <w:rFonts w:ascii="Verdana" w:hAnsi="Verdana"/>
                <w:sz w:val="20"/>
                <w:szCs w:val="20"/>
                <w:lang w:val="it-IT"/>
              </w:rPr>
              <w:t>introduc</w:t>
            </w:r>
            <w:r w:rsidRPr="00FC76DB">
              <w:rPr>
                <w:rFonts w:ascii="Verdana" w:hAnsi="Verdana"/>
                <w:sz w:val="20"/>
                <w:szCs w:val="20"/>
                <w:lang w:val="it-IT"/>
              </w:rPr>
              <w:t>e</w:t>
            </w:r>
            <w:r w:rsidR="00250EEA" w:rsidRPr="00FC76DB">
              <w:rPr>
                <w:rFonts w:ascii="Verdana" w:hAnsi="Verdana"/>
                <w:sz w:val="20"/>
                <w:szCs w:val="20"/>
                <w:lang w:val="it-IT"/>
              </w:rPr>
              <w:t xml:space="preserve"> esenzioni sulla base del modello di calcolo</w:t>
            </w:r>
            <w:r w:rsidR="00221ADB" w:rsidRPr="00FC76DB">
              <w:rPr>
                <w:rFonts w:ascii="Verdana" w:hAnsi="Verdana"/>
                <w:sz w:val="20"/>
                <w:szCs w:val="20"/>
                <w:lang w:val="it-IT"/>
              </w:rPr>
              <w:t xml:space="preserve"> utilizzato</w:t>
            </w:r>
          </w:p>
          <w:p w14:paraId="47D6B4D5" w14:textId="5C345F30" w:rsidR="00221ADB" w:rsidRPr="00FC76DB" w:rsidRDefault="00221ADB" w:rsidP="0013279A">
            <w:pPr>
              <w:pStyle w:val="ListParagraph"/>
              <w:numPr>
                <w:ilvl w:val="0"/>
                <w:numId w:val="40"/>
              </w:numPr>
              <w:ind w:left="714" w:hanging="357"/>
              <w:rPr>
                <w:rFonts w:ascii="Verdana" w:hAnsi="Verdana"/>
                <w:sz w:val="20"/>
                <w:szCs w:val="20"/>
                <w:lang w:val="it-IT"/>
              </w:rPr>
            </w:pPr>
            <w:proofErr w:type="gramStart"/>
            <w:r w:rsidRPr="00FC76DB">
              <w:rPr>
                <w:rFonts w:ascii="Verdana" w:hAnsi="Verdana"/>
                <w:sz w:val="20"/>
                <w:szCs w:val="20"/>
                <w:lang w:val="it-IT"/>
              </w:rPr>
              <w:t>non</w:t>
            </w:r>
            <w:proofErr w:type="gramEnd"/>
            <w:r w:rsidRPr="00FC76DB">
              <w:rPr>
                <w:rFonts w:ascii="Verdana" w:hAnsi="Verdana"/>
                <w:sz w:val="20"/>
                <w:szCs w:val="20"/>
                <w:lang w:val="it-IT"/>
              </w:rPr>
              <w:t xml:space="preserve"> si sovrappone alle attività di approvazione dei modelli </w:t>
            </w:r>
            <w:r w:rsidR="00FC76DB" w:rsidRPr="00FC76DB">
              <w:rPr>
                <w:rFonts w:ascii="Verdana" w:hAnsi="Verdana"/>
                <w:sz w:val="20"/>
                <w:szCs w:val="20"/>
                <w:lang w:val="it-IT"/>
              </w:rPr>
              <w:t>effettuate da parte dell’Istituto</w:t>
            </w:r>
          </w:p>
          <w:p w14:paraId="48CAED17" w14:textId="77777777" w:rsidR="00221ADB" w:rsidRDefault="005A520B" w:rsidP="00046462">
            <w:pPr>
              <w:spacing w:before="120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Il significativo onere aggiuntivo è previsto solo per le per un numero contenuto di soggetti che applicano il Modello Interno o il Modello Interno Parziale</w:t>
            </w:r>
            <w:r w:rsidR="00046462">
              <w:rPr>
                <w:rFonts w:ascii="Verdana" w:hAnsi="Verdana"/>
                <w:sz w:val="20"/>
                <w:szCs w:val="20"/>
                <w:lang w:val="it-IT"/>
              </w:rPr>
              <w:t xml:space="preserve"> e che generalmente hanno dimensioni maggiori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.</w:t>
            </w:r>
            <w:bookmarkStart w:id="0" w:name="_GoBack"/>
            <w:bookmarkEnd w:id="0"/>
          </w:p>
          <w:p w14:paraId="716A6201" w14:textId="3AF91761" w:rsidR="00FC76DB" w:rsidRDefault="00FC76DB" w:rsidP="006D1066">
            <w:pPr>
              <w:spacing w:before="120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lastRenderedPageBreak/>
              <w:t xml:space="preserve">Tale attività di revisione sarebbe di maggiore efficacia e valore, qualora </w:t>
            </w:r>
            <w:r w:rsidR="006D1066">
              <w:rPr>
                <w:rFonts w:ascii="Verdana" w:hAnsi="Verdana"/>
                <w:sz w:val="20"/>
                <w:szCs w:val="20"/>
                <w:lang w:val="it-IT"/>
              </w:rPr>
              <w:t>la maturazione del giudizio finale possa poggiarsi su una serie di attività di verifica condotte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nel corso di tutto l’anno</w:t>
            </w:r>
            <w:r w:rsidR="006D1066">
              <w:rPr>
                <w:rFonts w:ascii="Verdana" w:hAnsi="Verdana"/>
                <w:sz w:val="20"/>
                <w:szCs w:val="20"/>
                <w:lang w:val="it-IT"/>
              </w:rPr>
              <w:t>, consentendo di alleggerire la concentrazione delle verifiche in concomitanza della valutazione di fine anno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.</w:t>
            </w:r>
          </w:p>
        </w:tc>
        <w:tc>
          <w:tcPr>
            <w:tcW w:w="2127" w:type="dxa"/>
            <w:vAlign w:val="center"/>
          </w:tcPr>
          <w:p w14:paraId="193EA1FF" w14:textId="58410EB8" w:rsidR="00250EEA" w:rsidRDefault="00250EEA" w:rsidP="00250EEA">
            <w:pPr>
              <w:spacing w:before="120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14:paraId="29345BDF" w14:textId="77777777" w:rsidR="006D1066" w:rsidRPr="001F18C8" w:rsidRDefault="006D1066" w:rsidP="006D1066">
      <w:pPr>
        <w:spacing w:before="120"/>
        <w:jc w:val="both"/>
        <w:rPr>
          <w:rFonts w:ascii="Verdana" w:hAnsi="Verdana"/>
          <w:sz w:val="20"/>
          <w:szCs w:val="20"/>
          <w:lang w:val="it-IT"/>
        </w:rPr>
      </w:pPr>
    </w:p>
    <w:sectPr w:rsidR="006D1066" w:rsidRPr="001F18C8" w:rsidSect="00185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259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6A4F4" w14:textId="77777777" w:rsidR="00D32235" w:rsidRDefault="00D32235">
      <w:r>
        <w:separator/>
      </w:r>
    </w:p>
  </w:endnote>
  <w:endnote w:type="continuationSeparator" w:id="0">
    <w:p w14:paraId="619E7D19" w14:textId="77777777" w:rsidR="00D32235" w:rsidRDefault="00D3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Com 45 Ligh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5FB9F" w14:textId="77777777" w:rsidR="00623ACF" w:rsidRDefault="00623A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730511" w14:textId="77777777" w:rsidR="00623ACF" w:rsidRDefault="00623AC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1B09D" w14:textId="77777777" w:rsidR="00623ACF" w:rsidRPr="003A10ED" w:rsidRDefault="00623ACF" w:rsidP="003A10ED">
    <w:pPr>
      <w:jc w:val="right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54999" w14:textId="77777777" w:rsidR="00623ACF" w:rsidRDefault="00623A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F33B9" w14:textId="77777777" w:rsidR="00D32235" w:rsidRDefault="00D32235">
      <w:r>
        <w:separator/>
      </w:r>
    </w:p>
  </w:footnote>
  <w:footnote w:type="continuationSeparator" w:id="0">
    <w:p w14:paraId="70D7DC81" w14:textId="77777777" w:rsidR="00D32235" w:rsidRDefault="00D32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BF7A5" w14:textId="77777777" w:rsidR="00623ACF" w:rsidRDefault="00623A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7846" w14:textId="77777777" w:rsidR="00623ACF" w:rsidRDefault="00623ACF" w:rsidP="00185E5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7DA862C" wp14:editId="755A2045">
          <wp:extent cx="2595880" cy="840740"/>
          <wp:effectExtent l="0" t="0" r="0" b="0"/>
          <wp:docPr id="1" name="Immagine 1" descr="D:\dati\profili\IV50198\UserTemp\OutlookTemp\ivass-marchio rid-2016-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ati\profili\IV50198\UserTemp\OutlookTemp\ivass-marchio rid-2016-bl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EF9E2" w14:textId="77777777" w:rsidR="00623ACF" w:rsidRDefault="00623A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7in;height:422.25pt" o:bullet="t">
        <v:imagedata r:id="rId1" o:title="clip_image001"/>
      </v:shape>
    </w:pict>
  </w:numPicBullet>
  <w:abstractNum w:abstractNumId="0" w15:restartNumberingAfterBreak="0">
    <w:nsid w:val="07C54606"/>
    <w:multiLevelType w:val="hybridMultilevel"/>
    <w:tmpl w:val="390CCB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83616"/>
    <w:multiLevelType w:val="multilevel"/>
    <w:tmpl w:val="79D6717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9CD3D80"/>
    <w:multiLevelType w:val="hybridMultilevel"/>
    <w:tmpl w:val="63042926"/>
    <w:lvl w:ilvl="0" w:tplc="B53AFDF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5F61"/>
    <w:multiLevelType w:val="hybridMultilevel"/>
    <w:tmpl w:val="8F4E18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11CBC"/>
    <w:multiLevelType w:val="hybridMultilevel"/>
    <w:tmpl w:val="3D880146"/>
    <w:lvl w:ilvl="0" w:tplc="A0A2EDFE">
      <w:start w:val="1"/>
      <w:numFmt w:val="bullet"/>
      <w:pStyle w:val="ContinuousSquare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92A790">
      <w:start w:val="139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6E7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DA2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F0A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488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0AB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00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448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9B4D4F"/>
    <w:multiLevelType w:val="hybridMultilevel"/>
    <w:tmpl w:val="390CCB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D4C31"/>
    <w:multiLevelType w:val="multilevel"/>
    <w:tmpl w:val="3AF078A6"/>
    <w:styleLink w:val="Decision"/>
    <w:lvl w:ilvl="0">
      <w:start w:val="1"/>
      <w:numFmt w:val="decimal"/>
      <w:pStyle w:val="Titles"/>
      <w:suff w:val="space"/>
      <w:lvlText w:val="Tit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hapter"/>
      <w:suff w:val="space"/>
      <w:lvlText w:val="Chapter %2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pStyle w:val="Article"/>
      <w:suff w:val="space"/>
      <w:lvlText w:val="Article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ara1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ub-paraa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Sub-parai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1BBE02F9"/>
    <w:multiLevelType w:val="hybridMultilevel"/>
    <w:tmpl w:val="8CC863C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B5C2F"/>
    <w:multiLevelType w:val="hybridMultilevel"/>
    <w:tmpl w:val="62F490D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C187D3B"/>
    <w:multiLevelType w:val="hybridMultilevel"/>
    <w:tmpl w:val="41360ECC"/>
    <w:lvl w:ilvl="0" w:tplc="7BE202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451C"/>
    <w:multiLevelType w:val="hybridMultilevel"/>
    <w:tmpl w:val="3440E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D419B"/>
    <w:multiLevelType w:val="multilevel"/>
    <w:tmpl w:val="A89E3C1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pStyle w:val="Subbu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55C7621"/>
    <w:multiLevelType w:val="multilevel"/>
    <w:tmpl w:val="4DCE623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29600BDA"/>
    <w:multiLevelType w:val="hybridMultilevel"/>
    <w:tmpl w:val="CF5EF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1DA6"/>
    <w:multiLevelType w:val="hybridMultilevel"/>
    <w:tmpl w:val="605C0894"/>
    <w:lvl w:ilvl="0" w:tplc="DC20374C">
      <w:start w:val="1"/>
      <w:numFmt w:val="decimal"/>
      <w:pStyle w:val="Numberedparagraph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6263CF"/>
    <w:multiLevelType w:val="multilevel"/>
    <w:tmpl w:val="3AF078A6"/>
    <w:numStyleLink w:val="Decision"/>
  </w:abstractNum>
  <w:abstractNum w:abstractNumId="16" w15:restartNumberingAfterBreak="0">
    <w:nsid w:val="2CBB33D7"/>
    <w:multiLevelType w:val="hybridMultilevel"/>
    <w:tmpl w:val="05F6FAD4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18A0A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5501E7"/>
    <w:multiLevelType w:val="hybridMultilevel"/>
    <w:tmpl w:val="6BB68CAC"/>
    <w:lvl w:ilvl="0" w:tplc="79C02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A767D"/>
    <w:multiLevelType w:val="multilevel"/>
    <w:tmpl w:val="E27A1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35A11729"/>
    <w:multiLevelType w:val="hybridMultilevel"/>
    <w:tmpl w:val="7166E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C7A05"/>
    <w:multiLevelType w:val="multilevel"/>
    <w:tmpl w:val="4C5A7D54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3D3969F8"/>
    <w:multiLevelType w:val="hybridMultilevel"/>
    <w:tmpl w:val="B0FADA60"/>
    <w:lvl w:ilvl="0" w:tplc="A8CE68C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566C5E"/>
    <w:multiLevelType w:val="hybridMultilevel"/>
    <w:tmpl w:val="48C62F42"/>
    <w:lvl w:ilvl="0" w:tplc="A594C0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47EA8"/>
    <w:multiLevelType w:val="hybridMultilevel"/>
    <w:tmpl w:val="7EE45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F541A"/>
    <w:multiLevelType w:val="multilevel"/>
    <w:tmpl w:val="6582C41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  <w:color w:val="FFFFFF"/>
      </w:rPr>
    </w:lvl>
    <w:lvl w:ilvl="1">
      <w:start w:val="1"/>
      <w:numFmt w:val="decimal"/>
      <w:pStyle w:val="QISTextCharCharCharCharCharCharCharCharCharCharCharCharChar1CharChar"/>
      <w:lvlText w:val="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261A85"/>
    <w:multiLevelType w:val="hybridMultilevel"/>
    <w:tmpl w:val="9C3C1076"/>
    <w:lvl w:ilvl="0" w:tplc="0F768706">
      <w:start w:val="1"/>
      <w:numFmt w:val="decimal"/>
      <w:pStyle w:val="04aNumeration"/>
      <w:lvlText w:val="%1."/>
      <w:lvlJc w:val="left"/>
      <w:pPr>
        <w:tabs>
          <w:tab w:val="num" w:pos="284"/>
        </w:tabs>
        <w:ind w:left="284" w:hanging="284"/>
      </w:pPr>
      <w:rPr>
        <w:rFonts w:ascii="Georgia" w:hAnsi="Georgia" w:cs="Times New Roman" w:hint="default"/>
        <w:sz w:val="20"/>
      </w:rPr>
    </w:lvl>
    <w:lvl w:ilvl="1" w:tplc="CF12A1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193E34"/>
    <w:multiLevelType w:val="multilevel"/>
    <w:tmpl w:val="83082EF8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7" w15:restartNumberingAfterBreak="0">
    <w:nsid w:val="47D04C22"/>
    <w:multiLevelType w:val="multilevel"/>
    <w:tmpl w:val="1B142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559C7E7A"/>
    <w:multiLevelType w:val="multilevel"/>
    <w:tmpl w:val="55B47594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565B2E0B"/>
    <w:multiLevelType w:val="multilevel"/>
    <w:tmpl w:val="524207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0" w15:restartNumberingAfterBreak="0">
    <w:nsid w:val="56E14291"/>
    <w:multiLevelType w:val="hybridMultilevel"/>
    <w:tmpl w:val="390CCB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B34A2"/>
    <w:multiLevelType w:val="multilevel"/>
    <w:tmpl w:val="EABE2E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B3F593C"/>
    <w:multiLevelType w:val="hybridMultilevel"/>
    <w:tmpl w:val="4FC6F1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E31570F"/>
    <w:multiLevelType w:val="hybridMultilevel"/>
    <w:tmpl w:val="66F079C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32565"/>
    <w:multiLevelType w:val="hybridMultilevel"/>
    <w:tmpl w:val="ED544146"/>
    <w:lvl w:ilvl="0" w:tplc="E37A5A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3289D"/>
    <w:multiLevelType w:val="hybridMultilevel"/>
    <w:tmpl w:val="8A44B6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D124FC"/>
    <w:multiLevelType w:val="hybridMultilevel"/>
    <w:tmpl w:val="2C0C451C"/>
    <w:lvl w:ilvl="0" w:tplc="0409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F86056A"/>
    <w:multiLevelType w:val="hybridMultilevel"/>
    <w:tmpl w:val="E6FE4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2"/>
  </w:num>
  <w:num w:numId="4">
    <w:abstractNumId w:val="14"/>
  </w:num>
  <w:num w:numId="5">
    <w:abstractNumId w:val="24"/>
  </w:num>
  <w:num w:numId="6">
    <w:abstractNumId w:val="13"/>
  </w:num>
  <w:num w:numId="7">
    <w:abstractNumId w:val="25"/>
  </w:num>
  <w:num w:numId="8">
    <w:abstractNumId w:val="16"/>
  </w:num>
  <w:num w:numId="9">
    <w:abstractNumId w:val="6"/>
    <w:lvlOverride w:ilvl="0">
      <w:lvl w:ilvl="0">
        <w:start w:val="1"/>
        <w:numFmt w:val="decimal"/>
        <w:pStyle w:val="Titles"/>
        <w:suff w:val="space"/>
        <w:lvlText w:val="Title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Chapter"/>
        <w:suff w:val="space"/>
        <w:lvlText w:val="Chapter %2"/>
        <w:lvlJc w:val="left"/>
        <w:pPr>
          <w:ind w:left="0" w:firstLine="0"/>
        </w:pPr>
        <w:rPr>
          <w:rFonts w:hint="default"/>
          <w:sz w:val="24"/>
        </w:rPr>
      </w:lvl>
    </w:lvlOverride>
    <w:lvlOverride w:ilvl="2">
      <w:lvl w:ilvl="2">
        <w:start w:val="1"/>
        <w:numFmt w:val="decimal"/>
        <w:lvlRestart w:val="0"/>
        <w:pStyle w:val="Article"/>
        <w:suff w:val="space"/>
        <w:lvlText w:val="Article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Para1"/>
        <w:lvlText w:val="(%4)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ub-paraa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pStyle w:val="Sub-parai"/>
        <w:lvlText w:val="(%6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Restart w:val="2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10">
    <w:abstractNumId w:val="15"/>
    <w:lvlOverride w:ilvl="0">
      <w:lvl w:ilvl="0">
        <w:start w:val="1"/>
        <w:numFmt w:val="decimal"/>
        <w:pStyle w:val="Titles"/>
        <w:suff w:val="space"/>
        <w:lvlText w:val="Title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Chapter"/>
        <w:suff w:val="space"/>
        <w:lvlText w:val="Chapter %2"/>
        <w:lvlJc w:val="left"/>
        <w:pPr>
          <w:ind w:left="0" w:firstLine="0"/>
        </w:pPr>
        <w:rPr>
          <w:rFonts w:hint="default"/>
          <w:sz w:val="24"/>
        </w:rPr>
      </w:lvl>
    </w:lvlOverride>
    <w:lvlOverride w:ilvl="2">
      <w:lvl w:ilvl="2">
        <w:start w:val="1"/>
        <w:numFmt w:val="decimal"/>
        <w:lvlRestart w:val="0"/>
        <w:pStyle w:val="Article"/>
        <w:suff w:val="space"/>
        <w:lvlText w:val="Article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Para1"/>
        <w:lvlText w:val="(%4)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Sub-paraa"/>
        <w:lvlText w:val="(%5)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pStyle w:val="Sub-parai"/>
        <w:lvlText w:val="(%6)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tabs>
            <w:tab w:val="num" w:pos="1296"/>
          </w:tabs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1440"/>
          </w:tabs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Restart w:val="2"/>
        <w:lvlText w:val="%9."/>
        <w:lvlJc w:val="right"/>
        <w:pPr>
          <w:tabs>
            <w:tab w:val="num" w:pos="1584"/>
          </w:tabs>
          <w:ind w:left="1584" w:hanging="144"/>
        </w:pPr>
        <w:rPr>
          <w:rFonts w:hint="default"/>
        </w:rPr>
      </w:lvl>
    </w:lvlOverride>
  </w:num>
  <w:num w:numId="11">
    <w:abstractNumId w:val="27"/>
  </w:num>
  <w:num w:numId="12">
    <w:abstractNumId w:val="29"/>
  </w:num>
  <w:num w:numId="13">
    <w:abstractNumId w:val="33"/>
  </w:num>
  <w:num w:numId="14">
    <w:abstractNumId w:val="20"/>
  </w:num>
  <w:num w:numId="15">
    <w:abstractNumId w:val="26"/>
  </w:num>
  <w:num w:numId="16">
    <w:abstractNumId w:val="1"/>
  </w:num>
  <w:num w:numId="17">
    <w:abstractNumId w:val="36"/>
  </w:num>
  <w:num w:numId="18">
    <w:abstractNumId w:va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9"/>
  </w:num>
  <w:num w:numId="22">
    <w:abstractNumId w:val="31"/>
  </w:num>
  <w:num w:numId="23">
    <w:abstractNumId w:val="18"/>
  </w:num>
  <w:num w:numId="24">
    <w:abstractNumId w:val="2"/>
  </w:num>
  <w:num w:numId="25">
    <w:abstractNumId w:val="35"/>
  </w:num>
  <w:num w:numId="26">
    <w:abstractNumId w:val="12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0"/>
  </w:num>
  <w:num w:numId="30">
    <w:abstractNumId w:val="30"/>
  </w:num>
  <w:num w:numId="31">
    <w:abstractNumId w:val="28"/>
  </w:num>
  <w:num w:numId="32">
    <w:abstractNumId w:val="17"/>
  </w:num>
  <w:num w:numId="33">
    <w:abstractNumId w:val="21"/>
  </w:num>
  <w:num w:numId="34">
    <w:abstractNumId w:val="3"/>
  </w:num>
  <w:num w:numId="35">
    <w:abstractNumId w:val="37"/>
  </w:num>
  <w:num w:numId="36">
    <w:abstractNumId w:val="19"/>
  </w:num>
  <w:num w:numId="37">
    <w:abstractNumId w:val="6"/>
  </w:num>
  <w:num w:numId="38">
    <w:abstractNumId w:val="10"/>
  </w:num>
  <w:num w:numId="39">
    <w:abstractNumId w:val="23"/>
  </w:num>
  <w:num w:numId="40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39"/>
    <w:rsid w:val="000014BC"/>
    <w:rsid w:val="000102E7"/>
    <w:rsid w:val="000109CD"/>
    <w:rsid w:val="00015293"/>
    <w:rsid w:val="00020EEB"/>
    <w:rsid w:val="00033CCC"/>
    <w:rsid w:val="000346C1"/>
    <w:rsid w:val="000363B3"/>
    <w:rsid w:val="00036C1B"/>
    <w:rsid w:val="00040F83"/>
    <w:rsid w:val="00041536"/>
    <w:rsid w:val="00046462"/>
    <w:rsid w:val="0005214C"/>
    <w:rsid w:val="00052570"/>
    <w:rsid w:val="000536D7"/>
    <w:rsid w:val="000569A6"/>
    <w:rsid w:val="00061CF8"/>
    <w:rsid w:val="000634C5"/>
    <w:rsid w:val="00064913"/>
    <w:rsid w:val="00066ABD"/>
    <w:rsid w:val="000772EB"/>
    <w:rsid w:val="0008066A"/>
    <w:rsid w:val="00082B03"/>
    <w:rsid w:val="00084B95"/>
    <w:rsid w:val="00084CDE"/>
    <w:rsid w:val="00085BE0"/>
    <w:rsid w:val="00086905"/>
    <w:rsid w:val="00096230"/>
    <w:rsid w:val="000963E5"/>
    <w:rsid w:val="000A207B"/>
    <w:rsid w:val="000A6467"/>
    <w:rsid w:val="000A668D"/>
    <w:rsid w:val="000B222E"/>
    <w:rsid w:val="000B33D5"/>
    <w:rsid w:val="000B405F"/>
    <w:rsid w:val="000B623B"/>
    <w:rsid w:val="000C0AFF"/>
    <w:rsid w:val="000C0DA8"/>
    <w:rsid w:val="000C59A8"/>
    <w:rsid w:val="000C5E2B"/>
    <w:rsid w:val="000C6703"/>
    <w:rsid w:val="000D0EC2"/>
    <w:rsid w:val="000D22C9"/>
    <w:rsid w:val="000D4F15"/>
    <w:rsid w:val="000D71CF"/>
    <w:rsid w:val="000E1EBF"/>
    <w:rsid w:val="000E294F"/>
    <w:rsid w:val="000E2F28"/>
    <w:rsid w:val="000E3560"/>
    <w:rsid w:val="000E39E6"/>
    <w:rsid w:val="000E7318"/>
    <w:rsid w:val="000E774E"/>
    <w:rsid w:val="000F0C91"/>
    <w:rsid w:val="000F0F5C"/>
    <w:rsid w:val="000F2C55"/>
    <w:rsid w:val="000F3710"/>
    <w:rsid w:val="00104156"/>
    <w:rsid w:val="0011138C"/>
    <w:rsid w:val="001222B9"/>
    <w:rsid w:val="00122817"/>
    <w:rsid w:val="0012453F"/>
    <w:rsid w:val="0013011B"/>
    <w:rsid w:val="00130BB8"/>
    <w:rsid w:val="0013279A"/>
    <w:rsid w:val="00132FB8"/>
    <w:rsid w:val="00133481"/>
    <w:rsid w:val="00137079"/>
    <w:rsid w:val="0014253C"/>
    <w:rsid w:val="00144353"/>
    <w:rsid w:val="00144A9D"/>
    <w:rsid w:val="00146223"/>
    <w:rsid w:val="00147F4C"/>
    <w:rsid w:val="00154177"/>
    <w:rsid w:val="0016158E"/>
    <w:rsid w:val="00172B11"/>
    <w:rsid w:val="001744B5"/>
    <w:rsid w:val="001826AC"/>
    <w:rsid w:val="00184256"/>
    <w:rsid w:val="001847E2"/>
    <w:rsid w:val="00184B50"/>
    <w:rsid w:val="00184EBC"/>
    <w:rsid w:val="00185E50"/>
    <w:rsid w:val="00192BB1"/>
    <w:rsid w:val="001938E9"/>
    <w:rsid w:val="00194774"/>
    <w:rsid w:val="00194E23"/>
    <w:rsid w:val="00196A0F"/>
    <w:rsid w:val="001A687E"/>
    <w:rsid w:val="001B01B0"/>
    <w:rsid w:val="001B268D"/>
    <w:rsid w:val="001C06CC"/>
    <w:rsid w:val="001C4B88"/>
    <w:rsid w:val="001D1456"/>
    <w:rsid w:val="001D155B"/>
    <w:rsid w:val="001D1F5D"/>
    <w:rsid w:val="001D433C"/>
    <w:rsid w:val="001D5489"/>
    <w:rsid w:val="001D650E"/>
    <w:rsid w:val="001E1632"/>
    <w:rsid w:val="001E3114"/>
    <w:rsid w:val="001E556F"/>
    <w:rsid w:val="001F18C8"/>
    <w:rsid w:val="001F48BC"/>
    <w:rsid w:val="001F4F86"/>
    <w:rsid w:val="00201A05"/>
    <w:rsid w:val="0020411A"/>
    <w:rsid w:val="002063B1"/>
    <w:rsid w:val="0021050E"/>
    <w:rsid w:val="002134E4"/>
    <w:rsid w:val="002150B3"/>
    <w:rsid w:val="00220210"/>
    <w:rsid w:val="00220E28"/>
    <w:rsid w:val="00221ADB"/>
    <w:rsid w:val="0022366B"/>
    <w:rsid w:val="00226071"/>
    <w:rsid w:val="00226A74"/>
    <w:rsid w:val="00226FC2"/>
    <w:rsid w:val="00230110"/>
    <w:rsid w:val="00234A04"/>
    <w:rsid w:val="0023690E"/>
    <w:rsid w:val="00242A93"/>
    <w:rsid w:val="00243997"/>
    <w:rsid w:val="002443A2"/>
    <w:rsid w:val="00245F64"/>
    <w:rsid w:val="00246899"/>
    <w:rsid w:val="00246E0E"/>
    <w:rsid w:val="00246EA3"/>
    <w:rsid w:val="002474C8"/>
    <w:rsid w:val="00247655"/>
    <w:rsid w:val="00250049"/>
    <w:rsid w:val="00250EEA"/>
    <w:rsid w:val="002529D7"/>
    <w:rsid w:val="002532D9"/>
    <w:rsid w:val="00255476"/>
    <w:rsid w:val="00255FB8"/>
    <w:rsid w:val="00256630"/>
    <w:rsid w:val="00260F5E"/>
    <w:rsid w:val="00262E28"/>
    <w:rsid w:val="0026595D"/>
    <w:rsid w:val="00265D27"/>
    <w:rsid w:val="002660D0"/>
    <w:rsid w:val="00267BC0"/>
    <w:rsid w:val="00270E5A"/>
    <w:rsid w:val="002713E5"/>
    <w:rsid w:val="002715FB"/>
    <w:rsid w:val="002744AF"/>
    <w:rsid w:val="002764B2"/>
    <w:rsid w:val="00277199"/>
    <w:rsid w:val="00281F90"/>
    <w:rsid w:val="0028606A"/>
    <w:rsid w:val="0028633A"/>
    <w:rsid w:val="00286857"/>
    <w:rsid w:val="0029094E"/>
    <w:rsid w:val="00291328"/>
    <w:rsid w:val="002918C4"/>
    <w:rsid w:val="00293DB4"/>
    <w:rsid w:val="002969FD"/>
    <w:rsid w:val="002A0A71"/>
    <w:rsid w:val="002A7A91"/>
    <w:rsid w:val="002B3E39"/>
    <w:rsid w:val="002B452F"/>
    <w:rsid w:val="002C131D"/>
    <w:rsid w:val="002C479A"/>
    <w:rsid w:val="002C54E6"/>
    <w:rsid w:val="002C7068"/>
    <w:rsid w:val="002D076A"/>
    <w:rsid w:val="002D520F"/>
    <w:rsid w:val="002D61BC"/>
    <w:rsid w:val="002E66BF"/>
    <w:rsid w:val="002F374F"/>
    <w:rsid w:val="002F40AF"/>
    <w:rsid w:val="002F7041"/>
    <w:rsid w:val="002F7629"/>
    <w:rsid w:val="003023D2"/>
    <w:rsid w:val="00302D8E"/>
    <w:rsid w:val="0030434D"/>
    <w:rsid w:val="00305ED0"/>
    <w:rsid w:val="0031002E"/>
    <w:rsid w:val="00310241"/>
    <w:rsid w:val="00312C21"/>
    <w:rsid w:val="003130F7"/>
    <w:rsid w:val="00315DC2"/>
    <w:rsid w:val="00317597"/>
    <w:rsid w:val="00324562"/>
    <w:rsid w:val="00327E86"/>
    <w:rsid w:val="00330317"/>
    <w:rsid w:val="00330607"/>
    <w:rsid w:val="00332697"/>
    <w:rsid w:val="00342456"/>
    <w:rsid w:val="003444E0"/>
    <w:rsid w:val="00345EA1"/>
    <w:rsid w:val="00347CFD"/>
    <w:rsid w:val="003503FB"/>
    <w:rsid w:val="00351538"/>
    <w:rsid w:val="0035230A"/>
    <w:rsid w:val="00352BC2"/>
    <w:rsid w:val="003663D2"/>
    <w:rsid w:val="003722FF"/>
    <w:rsid w:val="0037283C"/>
    <w:rsid w:val="00381839"/>
    <w:rsid w:val="003819B3"/>
    <w:rsid w:val="00382664"/>
    <w:rsid w:val="00383BAB"/>
    <w:rsid w:val="00384779"/>
    <w:rsid w:val="0039488F"/>
    <w:rsid w:val="00394DCA"/>
    <w:rsid w:val="00395008"/>
    <w:rsid w:val="00395C3A"/>
    <w:rsid w:val="003A10ED"/>
    <w:rsid w:val="003A34AF"/>
    <w:rsid w:val="003B39D0"/>
    <w:rsid w:val="003B6B18"/>
    <w:rsid w:val="003C2F63"/>
    <w:rsid w:val="003D4F71"/>
    <w:rsid w:val="003D6081"/>
    <w:rsid w:val="003D638E"/>
    <w:rsid w:val="003D7292"/>
    <w:rsid w:val="003D7905"/>
    <w:rsid w:val="003D7922"/>
    <w:rsid w:val="003E0F34"/>
    <w:rsid w:val="003E1FDD"/>
    <w:rsid w:val="003E2C82"/>
    <w:rsid w:val="003F235A"/>
    <w:rsid w:val="0040017D"/>
    <w:rsid w:val="004046B8"/>
    <w:rsid w:val="00404C50"/>
    <w:rsid w:val="004108F2"/>
    <w:rsid w:val="0041199E"/>
    <w:rsid w:val="00412592"/>
    <w:rsid w:val="00413375"/>
    <w:rsid w:val="0042045C"/>
    <w:rsid w:val="0042052E"/>
    <w:rsid w:val="00420BAA"/>
    <w:rsid w:val="004213B5"/>
    <w:rsid w:val="00422374"/>
    <w:rsid w:val="00422456"/>
    <w:rsid w:val="0042306E"/>
    <w:rsid w:val="00423AD4"/>
    <w:rsid w:val="004260B2"/>
    <w:rsid w:val="00427866"/>
    <w:rsid w:val="004361DE"/>
    <w:rsid w:val="00440812"/>
    <w:rsid w:val="00441B9D"/>
    <w:rsid w:val="00445DD4"/>
    <w:rsid w:val="00446722"/>
    <w:rsid w:val="00447CC1"/>
    <w:rsid w:val="0045379D"/>
    <w:rsid w:val="00453B39"/>
    <w:rsid w:val="004546B5"/>
    <w:rsid w:val="0046164A"/>
    <w:rsid w:val="00462425"/>
    <w:rsid w:val="004644CC"/>
    <w:rsid w:val="004647A0"/>
    <w:rsid w:val="00475543"/>
    <w:rsid w:val="00475A4A"/>
    <w:rsid w:val="00476D02"/>
    <w:rsid w:val="00480194"/>
    <w:rsid w:val="00487ECC"/>
    <w:rsid w:val="004932F0"/>
    <w:rsid w:val="004939DC"/>
    <w:rsid w:val="00493C19"/>
    <w:rsid w:val="00495ACD"/>
    <w:rsid w:val="004A1D2F"/>
    <w:rsid w:val="004A4F23"/>
    <w:rsid w:val="004B2332"/>
    <w:rsid w:val="004B7469"/>
    <w:rsid w:val="004C258F"/>
    <w:rsid w:val="004C7A2E"/>
    <w:rsid w:val="004D060E"/>
    <w:rsid w:val="004D60AB"/>
    <w:rsid w:val="004E1753"/>
    <w:rsid w:val="004E317A"/>
    <w:rsid w:val="004E67DF"/>
    <w:rsid w:val="004E6899"/>
    <w:rsid w:val="004E7016"/>
    <w:rsid w:val="004E70B7"/>
    <w:rsid w:val="004F7505"/>
    <w:rsid w:val="004F773B"/>
    <w:rsid w:val="005002D0"/>
    <w:rsid w:val="00501751"/>
    <w:rsid w:val="00502F54"/>
    <w:rsid w:val="00506B99"/>
    <w:rsid w:val="005073B6"/>
    <w:rsid w:val="0051017A"/>
    <w:rsid w:val="0051518C"/>
    <w:rsid w:val="00515300"/>
    <w:rsid w:val="00515BB7"/>
    <w:rsid w:val="00517E40"/>
    <w:rsid w:val="00517F9F"/>
    <w:rsid w:val="005210A0"/>
    <w:rsid w:val="00524716"/>
    <w:rsid w:val="00524A6F"/>
    <w:rsid w:val="00533BA7"/>
    <w:rsid w:val="00534793"/>
    <w:rsid w:val="00537BC0"/>
    <w:rsid w:val="005425ED"/>
    <w:rsid w:val="00542AE4"/>
    <w:rsid w:val="0054411E"/>
    <w:rsid w:val="00544B1D"/>
    <w:rsid w:val="0054540A"/>
    <w:rsid w:val="00545BA2"/>
    <w:rsid w:val="00547247"/>
    <w:rsid w:val="005514C6"/>
    <w:rsid w:val="00554C5F"/>
    <w:rsid w:val="00556E37"/>
    <w:rsid w:val="005615DB"/>
    <w:rsid w:val="00562801"/>
    <w:rsid w:val="00566A3E"/>
    <w:rsid w:val="00567445"/>
    <w:rsid w:val="00570075"/>
    <w:rsid w:val="005700E2"/>
    <w:rsid w:val="0057059E"/>
    <w:rsid w:val="005716FF"/>
    <w:rsid w:val="00572597"/>
    <w:rsid w:val="00575D5F"/>
    <w:rsid w:val="0057768F"/>
    <w:rsid w:val="00580C70"/>
    <w:rsid w:val="00581ED1"/>
    <w:rsid w:val="005835C5"/>
    <w:rsid w:val="0058372C"/>
    <w:rsid w:val="00583BC1"/>
    <w:rsid w:val="00584C25"/>
    <w:rsid w:val="00586182"/>
    <w:rsid w:val="00587583"/>
    <w:rsid w:val="00587EEE"/>
    <w:rsid w:val="0059322E"/>
    <w:rsid w:val="00593A77"/>
    <w:rsid w:val="00594F31"/>
    <w:rsid w:val="00595396"/>
    <w:rsid w:val="005976C7"/>
    <w:rsid w:val="005A32C3"/>
    <w:rsid w:val="005A3421"/>
    <w:rsid w:val="005A520B"/>
    <w:rsid w:val="005A66ED"/>
    <w:rsid w:val="005A6E4D"/>
    <w:rsid w:val="005B1425"/>
    <w:rsid w:val="005B3D66"/>
    <w:rsid w:val="005B51AB"/>
    <w:rsid w:val="005B5C9F"/>
    <w:rsid w:val="005B78F5"/>
    <w:rsid w:val="005B7AB7"/>
    <w:rsid w:val="005C2068"/>
    <w:rsid w:val="005C2F0B"/>
    <w:rsid w:val="005C4D3B"/>
    <w:rsid w:val="005C5488"/>
    <w:rsid w:val="005D25CF"/>
    <w:rsid w:val="005D38B7"/>
    <w:rsid w:val="005D4C00"/>
    <w:rsid w:val="005D7931"/>
    <w:rsid w:val="005E5231"/>
    <w:rsid w:val="005E5DDE"/>
    <w:rsid w:val="005F1E2A"/>
    <w:rsid w:val="005F5FD3"/>
    <w:rsid w:val="005F77DD"/>
    <w:rsid w:val="00600336"/>
    <w:rsid w:val="006030A9"/>
    <w:rsid w:val="00604F93"/>
    <w:rsid w:val="00614349"/>
    <w:rsid w:val="00616E50"/>
    <w:rsid w:val="00617AD8"/>
    <w:rsid w:val="00622547"/>
    <w:rsid w:val="00622E5F"/>
    <w:rsid w:val="00623ACF"/>
    <w:rsid w:val="00624EE0"/>
    <w:rsid w:val="006351C2"/>
    <w:rsid w:val="006364C5"/>
    <w:rsid w:val="00636536"/>
    <w:rsid w:val="0064086E"/>
    <w:rsid w:val="00642A5C"/>
    <w:rsid w:val="00644261"/>
    <w:rsid w:val="0064733F"/>
    <w:rsid w:val="00647E0C"/>
    <w:rsid w:val="006508B8"/>
    <w:rsid w:val="00651C58"/>
    <w:rsid w:val="00652E92"/>
    <w:rsid w:val="006533D4"/>
    <w:rsid w:val="0066044C"/>
    <w:rsid w:val="00661A54"/>
    <w:rsid w:val="00663027"/>
    <w:rsid w:val="00666A12"/>
    <w:rsid w:val="00672BCA"/>
    <w:rsid w:val="006751CA"/>
    <w:rsid w:val="00681A31"/>
    <w:rsid w:val="00682769"/>
    <w:rsid w:val="00683487"/>
    <w:rsid w:val="006852F0"/>
    <w:rsid w:val="00686B20"/>
    <w:rsid w:val="00691909"/>
    <w:rsid w:val="0069556B"/>
    <w:rsid w:val="0069585B"/>
    <w:rsid w:val="00695EA4"/>
    <w:rsid w:val="006A0E2C"/>
    <w:rsid w:val="006A2DD8"/>
    <w:rsid w:val="006A624D"/>
    <w:rsid w:val="006B0A1F"/>
    <w:rsid w:val="006B3849"/>
    <w:rsid w:val="006B6BBC"/>
    <w:rsid w:val="006C142C"/>
    <w:rsid w:val="006C2682"/>
    <w:rsid w:val="006C6E24"/>
    <w:rsid w:val="006C76D2"/>
    <w:rsid w:val="006D1066"/>
    <w:rsid w:val="006D29DA"/>
    <w:rsid w:val="006D63DA"/>
    <w:rsid w:val="006D6C65"/>
    <w:rsid w:val="006E4308"/>
    <w:rsid w:val="006E4943"/>
    <w:rsid w:val="006F4E29"/>
    <w:rsid w:val="007023E8"/>
    <w:rsid w:val="00703CDD"/>
    <w:rsid w:val="00704E76"/>
    <w:rsid w:val="007055F9"/>
    <w:rsid w:val="00705AF4"/>
    <w:rsid w:val="00706435"/>
    <w:rsid w:val="00711E8C"/>
    <w:rsid w:val="00711EC8"/>
    <w:rsid w:val="00714DE7"/>
    <w:rsid w:val="00715C1C"/>
    <w:rsid w:val="007176DA"/>
    <w:rsid w:val="00732504"/>
    <w:rsid w:val="00732780"/>
    <w:rsid w:val="007332D1"/>
    <w:rsid w:val="00736827"/>
    <w:rsid w:val="00737A9C"/>
    <w:rsid w:val="0074210D"/>
    <w:rsid w:val="00742ECE"/>
    <w:rsid w:val="0074664F"/>
    <w:rsid w:val="007506FF"/>
    <w:rsid w:val="00750A5F"/>
    <w:rsid w:val="00750C2B"/>
    <w:rsid w:val="00751167"/>
    <w:rsid w:val="0075672C"/>
    <w:rsid w:val="00762128"/>
    <w:rsid w:val="00762F49"/>
    <w:rsid w:val="00765A0E"/>
    <w:rsid w:val="00766B42"/>
    <w:rsid w:val="00771586"/>
    <w:rsid w:val="007730F3"/>
    <w:rsid w:val="00774F92"/>
    <w:rsid w:val="0077611C"/>
    <w:rsid w:val="00776834"/>
    <w:rsid w:val="00777543"/>
    <w:rsid w:val="00777AAD"/>
    <w:rsid w:val="007829BF"/>
    <w:rsid w:val="00782B5C"/>
    <w:rsid w:val="00784547"/>
    <w:rsid w:val="0079271C"/>
    <w:rsid w:val="007960F5"/>
    <w:rsid w:val="0079720A"/>
    <w:rsid w:val="007A5097"/>
    <w:rsid w:val="007B31A3"/>
    <w:rsid w:val="007B5400"/>
    <w:rsid w:val="007B59BB"/>
    <w:rsid w:val="007B65A8"/>
    <w:rsid w:val="007D3AB3"/>
    <w:rsid w:val="007E09D7"/>
    <w:rsid w:val="007E3875"/>
    <w:rsid w:val="007E4056"/>
    <w:rsid w:val="007E4319"/>
    <w:rsid w:val="007E4350"/>
    <w:rsid w:val="007E7CE1"/>
    <w:rsid w:val="0080011A"/>
    <w:rsid w:val="008014F2"/>
    <w:rsid w:val="008038E7"/>
    <w:rsid w:val="0080417A"/>
    <w:rsid w:val="00810EF2"/>
    <w:rsid w:val="00817A4D"/>
    <w:rsid w:val="00820B7A"/>
    <w:rsid w:val="0082416E"/>
    <w:rsid w:val="0082441D"/>
    <w:rsid w:val="008244F0"/>
    <w:rsid w:val="008259FF"/>
    <w:rsid w:val="0082605D"/>
    <w:rsid w:val="008310E9"/>
    <w:rsid w:val="00837E87"/>
    <w:rsid w:val="0084141A"/>
    <w:rsid w:val="00847FF1"/>
    <w:rsid w:val="00850476"/>
    <w:rsid w:val="00855C22"/>
    <w:rsid w:val="00855ED4"/>
    <w:rsid w:val="00856175"/>
    <w:rsid w:val="00862D2D"/>
    <w:rsid w:val="0086507E"/>
    <w:rsid w:val="00866222"/>
    <w:rsid w:val="008713AC"/>
    <w:rsid w:val="008731CD"/>
    <w:rsid w:val="00874152"/>
    <w:rsid w:val="008756E5"/>
    <w:rsid w:val="00882711"/>
    <w:rsid w:val="008831ED"/>
    <w:rsid w:val="00886F8E"/>
    <w:rsid w:val="008913C9"/>
    <w:rsid w:val="008933FF"/>
    <w:rsid w:val="00893917"/>
    <w:rsid w:val="00896002"/>
    <w:rsid w:val="00896CFC"/>
    <w:rsid w:val="00897E95"/>
    <w:rsid w:val="008A1D1E"/>
    <w:rsid w:val="008A3845"/>
    <w:rsid w:val="008A3DED"/>
    <w:rsid w:val="008A49DF"/>
    <w:rsid w:val="008A4BFE"/>
    <w:rsid w:val="008A5209"/>
    <w:rsid w:val="008A5601"/>
    <w:rsid w:val="008A5809"/>
    <w:rsid w:val="008B3295"/>
    <w:rsid w:val="008B356E"/>
    <w:rsid w:val="008B3F87"/>
    <w:rsid w:val="008B7864"/>
    <w:rsid w:val="008C285E"/>
    <w:rsid w:val="008C3429"/>
    <w:rsid w:val="008C620B"/>
    <w:rsid w:val="008C67F5"/>
    <w:rsid w:val="008C76C2"/>
    <w:rsid w:val="008C7FC3"/>
    <w:rsid w:val="008D1689"/>
    <w:rsid w:val="008D3BBC"/>
    <w:rsid w:val="008D4793"/>
    <w:rsid w:val="008D6D39"/>
    <w:rsid w:val="008E0025"/>
    <w:rsid w:val="008E1ED5"/>
    <w:rsid w:val="008E2A17"/>
    <w:rsid w:val="008F3296"/>
    <w:rsid w:val="008F3A4B"/>
    <w:rsid w:val="008F4077"/>
    <w:rsid w:val="008F48FE"/>
    <w:rsid w:val="00901FDB"/>
    <w:rsid w:val="0090517C"/>
    <w:rsid w:val="00907097"/>
    <w:rsid w:val="00912CE3"/>
    <w:rsid w:val="0092348D"/>
    <w:rsid w:val="00924248"/>
    <w:rsid w:val="009263DD"/>
    <w:rsid w:val="00927412"/>
    <w:rsid w:val="0093088E"/>
    <w:rsid w:val="00936056"/>
    <w:rsid w:val="0094390E"/>
    <w:rsid w:val="00950705"/>
    <w:rsid w:val="009526EC"/>
    <w:rsid w:val="009547A0"/>
    <w:rsid w:val="00960BB5"/>
    <w:rsid w:val="00960F82"/>
    <w:rsid w:val="00963BB1"/>
    <w:rsid w:val="00965A66"/>
    <w:rsid w:val="009662CD"/>
    <w:rsid w:val="00967FBF"/>
    <w:rsid w:val="00971C63"/>
    <w:rsid w:val="009736C7"/>
    <w:rsid w:val="00974415"/>
    <w:rsid w:val="00983846"/>
    <w:rsid w:val="0098466A"/>
    <w:rsid w:val="00985BA7"/>
    <w:rsid w:val="0098611B"/>
    <w:rsid w:val="00993BF3"/>
    <w:rsid w:val="00996993"/>
    <w:rsid w:val="00996E44"/>
    <w:rsid w:val="009A4843"/>
    <w:rsid w:val="009A4945"/>
    <w:rsid w:val="009A6CF4"/>
    <w:rsid w:val="009A795D"/>
    <w:rsid w:val="009B5FAA"/>
    <w:rsid w:val="009B7956"/>
    <w:rsid w:val="009C0CDD"/>
    <w:rsid w:val="009C2F5F"/>
    <w:rsid w:val="009C4841"/>
    <w:rsid w:val="009D3B13"/>
    <w:rsid w:val="009D4FD8"/>
    <w:rsid w:val="009D7B41"/>
    <w:rsid w:val="009E0ABE"/>
    <w:rsid w:val="009E7C14"/>
    <w:rsid w:val="00A01C80"/>
    <w:rsid w:val="00A055A9"/>
    <w:rsid w:val="00A05819"/>
    <w:rsid w:val="00A12CC8"/>
    <w:rsid w:val="00A20EEE"/>
    <w:rsid w:val="00A224B1"/>
    <w:rsid w:val="00A2687D"/>
    <w:rsid w:val="00A27253"/>
    <w:rsid w:val="00A32E3D"/>
    <w:rsid w:val="00A40CB2"/>
    <w:rsid w:val="00A446E0"/>
    <w:rsid w:val="00A5091C"/>
    <w:rsid w:val="00A5340A"/>
    <w:rsid w:val="00A540C8"/>
    <w:rsid w:val="00A5472F"/>
    <w:rsid w:val="00A54F8E"/>
    <w:rsid w:val="00A562B1"/>
    <w:rsid w:val="00A5790D"/>
    <w:rsid w:val="00A57AA9"/>
    <w:rsid w:val="00A70FF6"/>
    <w:rsid w:val="00A719CD"/>
    <w:rsid w:val="00A7577B"/>
    <w:rsid w:val="00A7770C"/>
    <w:rsid w:val="00A778BE"/>
    <w:rsid w:val="00A8169E"/>
    <w:rsid w:val="00A850A7"/>
    <w:rsid w:val="00A856E2"/>
    <w:rsid w:val="00A87797"/>
    <w:rsid w:val="00A90568"/>
    <w:rsid w:val="00A93498"/>
    <w:rsid w:val="00A94384"/>
    <w:rsid w:val="00A95306"/>
    <w:rsid w:val="00A95941"/>
    <w:rsid w:val="00A95D0F"/>
    <w:rsid w:val="00A97AA3"/>
    <w:rsid w:val="00A97E69"/>
    <w:rsid w:val="00AA33E6"/>
    <w:rsid w:val="00AA436F"/>
    <w:rsid w:val="00AA67F2"/>
    <w:rsid w:val="00AB097A"/>
    <w:rsid w:val="00AB1C7F"/>
    <w:rsid w:val="00AB3A5E"/>
    <w:rsid w:val="00AB4E82"/>
    <w:rsid w:val="00AB5E2F"/>
    <w:rsid w:val="00AB6349"/>
    <w:rsid w:val="00AB65F6"/>
    <w:rsid w:val="00AB776F"/>
    <w:rsid w:val="00AC31A9"/>
    <w:rsid w:val="00AC339F"/>
    <w:rsid w:val="00AC5EF5"/>
    <w:rsid w:val="00AD5D12"/>
    <w:rsid w:val="00AD7D2B"/>
    <w:rsid w:val="00AE1AF0"/>
    <w:rsid w:val="00AE1E3C"/>
    <w:rsid w:val="00AF26FD"/>
    <w:rsid w:val="00AF7DBA"/>
    <w:rsid w:val="00B002F2"/>
    <w:rsid w:val="00B066AF"/>
    <w:rsid w:val="00B10BCE"/>
    <w:rsid w:val="00B11094"/>
    <w:rsid w:val="00B11EC6"/>
    <w:rsid w:val="00B12C64"/>
    <w:rsid w:val="00B20EC2"/>
    <w:rsid w:val="00B277A6"/>
    <w:rsid w:val="00B33415"/>
    <w:rsid w:val="00B34EA0"/>
    <w:rsid w:val="00B35590"/>
    <w:rsid w:val="00B35D21"/>
    <w:rsid w:val="00B3668D"/>
    <w:rsid w:val="00B37664"/>
    <w:rsid w:val="00B418F2"/>
    <w:rsid w:val="00B47C09"/>
    <w:rsid w:val="00B53095"/>
    <w:rsid w:val="00B55547"/>
    <w:rsid w:val="00B617AA"/>
    <w:rsid w:val="00B61A39"/>
    <w:rsid w:val="00B7446F"/>
    <w:rsid w:val="00B7612B"/>
    <w:rsid w:val="00B80B71"/>
    <w:rsid w:val="00B84EE7"/>
    <w:rsid w:val="00B913DB"/>
    <w:rsid w:val="00B920B5"/>
    <w:rsid w:val="00BA1155"/>
    <w:rsid w:val="00BA2F95"/>
    <w:rsid w:val="00BA5738"/>
    <w:rsid w:val="00BB3802"/>
    <w:rsid w:val="00BB38C8"/>
    <w:rsid w:val="00BB5908"/>
    <w:rsid w:val="00BC0CDF"/>
    <w:rsid w:val="00BC1AB6"/>
    <w:rsid w:val="00BC1D22"/>
    <w:rsid w:val="00BD0CAF"/>
    <w:rsid w:val="00BD2014"/>
    <w:rsid w:val="00BD2377"/>
    <w:rsid w:val="00BD27E3"/>
    <w:rsid w:val="00BD4198"/>
    <w:rsid w:val="00BD67E4"/>
    <w:rsid w:val="00BE4B32"/>
    <w:rsid w:val="00BE6CE5"/>
    <w:rsid w:val="00BE780F"/>
    <w:rsid w:val="00BF4FB0"/>
    <w:rsid w:val="00BF6E4C"/>
    <w:rsid w:val="00C01BCD"/>
    <w:rsid w:val="00C02434"/>
    <w:rsid w:val="00C073CA"/>
    <w:rsid w:val="00C11D10"/>
    <w:rsid w:val="00C123D3"/>
    <w:rsid w:val="00C12871"/>
    <w:rsid w:val="00C15C9C"/>
    <w:rsid w:val="00C21879"/>
    <w:rsid w:val="00C23B67"/>
    <w:rsid w:val="00C241F7"/>
    <w:rsid w:val="00C2464D"/>
    <w:rsid w:val="00C326FB"/>
    <w:rsid w:val="00C40653"/>
    <w:rsid w:val="00C42523"/>
    <w:rsid w:val="00C479ED"/>
    <w:rsid w:val="00C50C82"/>
    <w:rsid w:val="00C51774"/>
    <w:rsid w:val="00C51F17"/>
    <w:rsid w:val="00C5529D"/>
    <w:rsid w:val="00C553B3"/>
    <w:rsid w:val="00C61BDF"/>
    <w:rsid w:val="00C67A59"/>
    <w:rsid w:val="00C7151B"/>
    <w:rsid w:val="00C7176E"/>
    <w:rsid w:val="00C7188F"/>
    <w:rsid w:val="00C74028"/>
    <w:rsid w:val="00C8259C"/>
    <w:rsid w:val="00C85104"/>
    <w:rsid w:val="00C90888"/>
    <w:rsid w:val="00C91C9B"/>
    <w:rsid w:val="00C93FB4"/>
    <w:rsid w:val="00CA5D82"/>
    <w:rsid w:val="00CB2771"/>
    <w:rsid w:val="00CB3CB0"/>
    <w:rsid w:val="00CB6155"/>
    <w:rsid w:val="00CC4D62"/>
    <w:rsid w:val="00CD213E"/>
    <w:rsid w:val="00CD35BB"/>
    <w:rsid w:val="00CD41BA"/>
    <w:rsid w:val="00CD78DD"/>
    <w:rsid w:val="00CE1A51"/>
    <w:rsid w:val="00CE2846"/>
    <w:rsid w:val="00CE5CAF"/>
    <w:rsid w:val="00CF3B31"/>
    <w:rsid w:val="00CF46B3"/>
    <w:rsid w:val="00CF5580"/>
    <w:rsid w:val="00CF6AC6"/>
    <w:rsid w:val="00CF76C9"/>
    <w:rsid w:val="00CF7BB6"/>
    <w:rsid w:val="00D00A4C"/>
    <w:rsid w:val="00D05321"/>
    <w:rsid w:val="00D0558E"/>
    <w:rsid w:val="00D05860"/>
    <w:rsid w:val="00D05F0C"/>
    <w:rsid w:val="00D11A68"/>
    <w:rsid w:val="00D12134"/>
    <w:rsid w:val="00D133AB"/>
    <w:rsid w:val="00D151AF"/>
    <w:rsid w:val="00D15722"/>
    <w:rsid w:val="00D21953"/>
    <w:rsid w:val="00D26BE6"/>
    <w:rsid w:val="00D27CD6"/>
    <w:rsid w:val="00D303BA"/>
    <w:rsid w:val="00D30B83"/>
    <w:rsid w:val="00D30DA5"/>
    <w:rsid w:val="00D32235"/>
    <w:rsid w:val="00D33A04"/>
    <w:rsid w:val="00D5063B"/>
    <w:rsid w:val="00D51A2D"/>
    <w:rsid w:val="00D56A1F"/>
    <w:rsid w:val="00D60376"/>
    <w:rsid w:val="00D619B9"/>
    <w:rsid w:val="00D61DCD"/>
    <w:rsid w:val="00D64607"/>
    <w:rsid w:val="00D720E1"/>
    <w:rsid w:val="00D735D6"/>
    <w:rsid w:val="00D76846"/>
    <w:rsid w:val="00D76871"/>
    <w:rsid w:val="00D76AF1"/>
    <w:rsid w:val="00D80341"/>
    <w:rsid w:val="00D83E91"/>
    <w:rsid w:val="00D84D5E"/>
    <w:rsid w:val="00D92448"/>
    <w:rsid w:val="00D92CD9"/>
    <w:rsid w:val="00D93CD4"/>
    <w:rsid w:val="00D94B90"/>
    <w:rsid w:val="00DA233F"/>
    <w:rsid w:val="00DA6BCB"/>
    <w:rsid w:val="00DA7A66"/>
    <w:rsid w:val="00DB3534"/>
    <w:rsid w:val="00DB7916"/>
    <w:rsid w:val="00DC48F6"/>
    <w:rsid w:val="00DC52F1"/>
    <w:rsid w:val="00DC71B1"/>
    <w:rsid w:val="00DD0654"/>
    <w:rsid w:val="00DD1177"/>
    <w:rsid w:val="00DD19A4"/>
    <w:rsid w:val="00DD4E3E"/>
    <w:rsid w:val="00DD549F"/>
    <w:rsid w:val="00DD6162"/>
    <w:rsid w:val="00DE4DB6"/>
    <w:rsid w:val="00DE72CF"/>
    <w:rsid w:val="00DF563C"/>
    <w:rsid w:val="00E111F5"/>
    <w:rsid w:val="00E129A0"/>
    <w:rsid w:val="00E14D61"/>
    <w:rsid w:val="00E15E32"/>
    <w:rsid w:val="00E24033"/>
    <w:rsid w:val="00E321A6"/>
    <w:rsid w:val="00E34F0E"/>
    <w:rsid w:val="00E37DEA"/>
    <w:rsid w:val="00E4132A"/>
    <w:rsid w:val="00E44730"/>
    <w:rsid w:val="00E47F4F"/>
    <w:rsid w:val="00E50930"/>
    <w:rsid w:val="00E56430"/>
    <w:rsid w:val="00E56F2B"/>
    <w:rsid w:val="00E57843"/>
    <w:rsid w:val="00E602A6"/>
    <w:rsid w:val="00E60586"/>
    <w:rsid w:val="00E65244"/>
    <w:rsid w:val="00E70060"/>
    <w:rsid w:val="00E71088"/>
    <w:rsid w:val="00E735A7"/>
    <w:rsid w:val="00E762A0"/>
    <w:rsid w:val="00E81050"/>
    <w:rsid w:val="00E8124E"/>
    <w:rsid w:val="00E86C14"/>
    <w:rsid w:val="00E90914"/>
    <w:rsid w:val="00E90E96"/>
    <w:rsid w:val="00E91044"/>
    <w:rsid w:val="00E91AA5"/>
    <w:rsid w:val="00E93151"/>
    <w:rsid w:val="00E93DFC"/>
    <w:rsid w:val="00E94079"/>
    <w:rsid w:val="00E94C1F"/>
    <w:rsid w:val="00E97012"/>
    <w:rsid w:val="00E972C6"/>
    <w:rsid w:val="00EA0067"/>
    <w:rsid w:val="00EA06CD"/>
    <w:rsid w:val="00EA0C03"/>
    <w:rsid w:val="00EA10A0"/>
    <w:rsid w:val="00EA1C68"/>
    <w:rsid w:val="00EA263B"/>
    <w:rsid w:val="00EB578D"/>
    <w:rsid w:val="00EB5FEE"/>
    <w:rsid w:val="00EB7331"/>
    <w:rsid w:val="00EC24B8"/>
    <w:rsid w:val="00EC309F"/>
    <w:rsid w:val="00EC4694"/>
    <w:rsid w:val="00EC632E"/>
    <w:rsid w:val="00ED0932"/>
    <w:rsid w:val="00ED5216"/>
    <w:rsid w:val="00ED7742"/>
    <w:rsid w:val="00EE5466"/>
    <w:rsid w:val="00EF0004"/>
    <w:rsid w:val="00EF0844"/>
    <w:rsid w:val="00EF424C"/>
    <w:rsid w:val="00EF583C"/>
    <w:rsid w:val="00EF5D7E"/>
    <w:rsid w:val="00EF7AE2"/>
    <w:rsid w:val="00F04F84"/>
    <w:rsid w:val="00F075E9"/>
    <w:rsid w:val="00F11BC5"/>
    <w:rsid w:val="00F12762"/>
    <w:rsid w:val="00F1507D"/>
    <w:rsid w:val="00F214A7"/>
    <w:rsid w:val="00F25271"/>
    <w:rsid w:val="00F31EDC"/>
    <w:rsid w:val="00F35DCE"/>
    <w:rsid w:val="00F35E21"/>
    <w:rsid w:val="00F368DD"/>
    <w:rsid w:val="00F4066A"/>
    <w:rsid w:val="00F42E99"/>
    <w:rsid w:val="00F43128"/>
    <w:rsid w:val="00F44226"/>
    <w:rsid w:val="00F45EE5"/>
    <w:rsid w:val="00F46A08"/>
    <w:rsid w:val="00F53FA3"/>
    <w:rsid w:val="00F57EEF"/>
    <w:rsid w:val="00F61E6E"/>
    <w:rsid w:val="00F65BA7"/>
    <w:rsid w:val="00F6606A"/>
    <w:rsid w:val="00F70F1C"/>
    <w:rsid w:val="00F728EB"/>
    <w:rsid w:val="00F752A4"/>
    <w:rsid w:val="00F75902"/>
    <w:rsid w:val="00F76E96"/>
    <w:rsid w:val="00F772FD"/>
    <w:rsid w:val="00F8317B"/>
    <w:rsid w:val="00F835BB"/>
    <w:rsid w:val="00F860C4"/>
    <w:rsid w:val="00F8727A"/>
    <w:rsid w:val="00F877DA"/>
    <w:rsid w:val="00F927A4"/>
    <w:rsid w:val="00F93439"/>
    <w:rsid w:val="00F9482F"/>
    <w:rsid w:val="00F95946"/>
    <w:rsid w:val="00FA02C9"/>
    <w:rsid w:val="00FA098C"/>
    <w:rsid w:val="00FA3187"/>
    <w:rsid w:val="00FA4DFA"/>
    <w:rsid w:val="00FB1D67"/>
    <w:rsid w:val="00FC0A25"/>
    <w:rsid w:val="00FC3278"/>
    <w:rsid w:val="00FC3D2C"/>
    <w:rsid w:val="00FC5F46"/>
    <w:rsid w:val="00FC76DB"/>
    <w:rsid w:val="00FD0921"/>
    <w:rsid w:val="00FD0BA1"/>
    <w:rsid w:val="00FD2F4D"/>
    <w:rsid w:val="00FD7AB4"/>
    <w:rsid w:val="00FD7FB6"/>
    <w:rsid w:val="00FD7FC1"/>
    <w:rsid w:val="00FE1E6E"/>
    <w:rsid w:val="00FE36B1"/>
    <w:rsid w:val="00FE707C"/>
    <w:rsid w:val="00FF0E07"/>
    <w:rsid w:val="00FF19BD"/>
    <w:rsid w:val="00FF2E2A"/>
    <w:rsid w:val="00FF3E38"/>
    <w:rsid w:val="00FF4723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cf"/>
    </o:shapedefaults>
    <o:shapelayout v:ext="edit">
      <o:idmap v:ext="edit" data="1"/>
    </o:shapelayout>
  </w:shapeDefaults>
  <w:decimalSymbol w:val=","/>
  <w:listSeparator w:val=";"/>
  <w14:docId w14:val="7629CBE2"/>
  <w15:docId w15:val="{513E8B54-72B6-4CB4-BB35-CCEDF427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49F"/>
    <w:rPr>
      <w:sz w:val="24"/>
      <w:szCs w:val="24"/>
      <w:lang w:val="en-GB" w:eastAsia="de-DE"/>
    </w:rPr>
  </w:style>
  <w:style w:type="paragraph" w:styleId="Heading1">
    <w:name w:val="heading 1"/>
    <w:basedOn w:val="Normal"/>
    <w:next w:val="Normal"/>
    <w:qFormat/>
    <w:rsid w:val="00DD54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54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49F"/>
    <w:pPr>
      <w:keepNext/>
      <w:outlineLvl w:val="2"/>
    </w:pPr>
    <w:rPr>
      <w:rFonts w:ascii="Arial" w:hAnsi="Arial" w:cs="Arial"/>
      <w:b/>
      <w:bCs/>
      <w:lang w:eastAsia="en-US"/>
    </w:rPr>
  </w:style>
  <w:style w:type="paragraph" w:styleId="Heading5">
    <w:name w:val="heading 5"/>
    <w:basedOn w:val="Normal"/>
    <w:next w:val="Normal"/>
    <w:qFormat/>
    <w:rsid w:val="00DD54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D549F"/>
    <w:rPr>
      <w:sz w:val="20"/>
    </w:rPr>
  </w:style>
  <w:style w:type="paragraph" w:styleId="Header">
    <w:name w:val="header"/>
    <w:basedOn w:val="Normal"/>
    <w:rsid w:val="00DD549F"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DD549F"/>
    <w:pPr>
      <w:tabs>
        <w:tab w:val="center" w:pos="4536"/>
        <w:tab w:val="right" w:pos="9072"/>
      </w:tabs>
    </w:pPr>
    <w:rPr>
      <w:lang w:val="de-DE"/>
    </w:rPr>
  </w:style>
  <w:style w:type="character" w:styleId="PageNumber">
    <w:name w:val="page number"/>
    <w:basedOn w:val="DefaultParagraphFont"/>
    <w:rsid w:val="00DD549F"/>
  </w:style>
  <w:style w:type="paragraph" w:styleId="BodyTextIndent">
    <w:name w:val="Body Text Indent"/>
    <w:basedOn w:val="Normal"/>
    <w:rsid w:val="00DD549F"/>
    <w:pPr>
      <w:ind w:left="720"/>
    </w:pPr>
    <w:rPr>
      <w:rFonts w:ascii="Arial" w:hAnsi="Arial" w:cs="Arial"/>
      <w:lang w:eastAsia="en-US"/>
    </w:rPr>
  </w:style>
  <w:style w:type="paragraph" w:styleId="BodyText">
    <w:name w:val="Body Text"/>
    <w:basedOn w:val="Normal"/>
    <w:link w:val="BodyTextChar"/>
    <w:uiPriority w:val="99"/>
    <w:rsid w:val="00DD549F"/>
    <w:pPr>
      <w:spacing w:after="120"/>
    </w:pPr>
    <w:rPr>
      <w:lang w:val="de-DE"/>
    </w:rPr>
  </w:style>
  <w:style w:type="character" w:styleId="Hyperlink">
    <w:name w:val="Hyperlink"/>
    <w:rsid w:val="00DD549F"/>
    <w:rPr>
      <w:color w:val="0000FF"/>
      <w:u w:val="single"/>
    </w:rPr>
  </w:style>
  <w:style w:type="paragraph" w:styleId="BodyTextIndent2">
    <w:name w:val="Body Text Indent 2"/>
    <w:basedOn w:val="Normal"/>
    <w:rsid w:val="00DD549F"/>
    <w:pPr>
      <w:spacing w:after="120" w:line="480" w:lineRule="auto"/>
      <w:ind w:left="283"/>
    </w:pPr>
  </w:style>
  <w:style w:type="paragraph" w:customStyle="1" w:styleId="Subbulet">
    <w:name w:val="Subbulet"/>
    <w:basedOn w:val="Normal"/>
    <w:rsid w:val="00DD549F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  <w:lang w:eastAsia="fr-FR"/>
    </w:rPr>
  </w:style>
  <w:style w:type="character" w:customStyle="1" w:styleId="SubbuletChar">
    <w:name w:val="Subbulet Char"/>
    <w:rsid w:val="00DD549F"/>
    <w:rPr>
      <w:noProof w:val="0"/>
      <w:sz w:val="26"/>
      <w:szCs w:val="26"/>
      <w:lang w:val="en-GB" w:eastAsia="fr-FR" w:bidi="ar-SA"/>
    </w:rPr>
  </w:style>
  <w:style w:type="paragraph" w:customStyle="1" w:styleId="ContinuousSquareBullet">
    <w:name w:val="Continuous Square Bullet"/>
    <w:basedOn w:val="Normal"/>
    <w:rsid w:val="00DD549F"/>
    <w:pPr>
      <w:numPr>
        <w:numId w:val="2"/>
      </w:numPr>
      <w:spacing w:after="280" w:line="280" w:lineRule="exact"/>
    </w:pPr>
    <w:rPr>
      <w:rFonts w:ascii="Arial" w:hAnsi="Arial"/>
      <w:sz w:val="23"/>
      <w:szCs w:val="20"/>
      <w:lang w:eastAsia="en-US"/>
    </w:rPr>
  </w:style>
  <w:style w:type="paragraph" w:styleId="BodyTextIndent3">
    <w:name w:val="Body Text Indent 3"/>
    <w:basedOn w:val="Normal"/>
    <w:rsid w:val="00DD549F"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semiHidden/>
    <w:rsid w:val="00DD549F"/>
    <w:rPr>
      <w:szCs w:val="20"/>
      <w:lang w:val="nl-NL" w:eastAsia="nl-NL"/>
    </w:rPr>
  </w:style>
  <w:style w:type="character" w:styleId="FootnoteReference">
    <w:name w:val="footnote reference"/>
    <w:semiHidden/>
    <w:rsid w:val="00DD549F"/>
    <w:rPr>
      <w:vertAlign w:val="superscript"/>
    </w:rPr>
  </w:style>
  <w:style w:type="paragraph" w:styleId="BodyText3">
    <w:name w:val="Body Text 3"/>
    <w:basedOn w:val="Normal"/>
    <w:rsid w:val="00DD549F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DD549F"/>
    <w:pPr>
      <w:spacing w:after="120" w:line="480" w:lineRule="auto"/>
    </w:pPr>
  </w:style>
  <w:style w:type="paragraph" w:customStyle="1" w:styleId="Anglais">
    <w:name w:val="Anglais"/>
    <w:basedOn w:val="Normal"/>
    <w:rsid w:val="00DD549F"/>
    <w:rPr>
      <w:szCs w:val="20"/>
      <w:lang w:eastAsia="en-US"/>
    </w:rPr>
  </w:style>
  <w:style w:type="character" w:styleId="EndnoteReference">
    <w:name w:val="endnote reference"/>
    <w:semiHidden/>
    <w:rsid w:val="00DD549F"/>
    <w:rPr>
      <w:vertAlign w:val="superscript"/>
    </w:rPr>
  </w:style>
  <w:style w:type="paragraph" w:customStyle="1" w:styleId="BalloonText1">
    <w:name w:val="Balloon Text1"/>
    <w:basedOn w:val="Normal"/>
    <w:semiHidden/>
    <w:rsid w:val="00DD549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CD78DD"/>
    <w:rPr>
      <w:rFonts w:ascii="Tahoma" w:hAnsi="Tahoma" w:cs="Tahoma"/>
      <w:sz w:val="16"/>
      <w:szCs w:val="16"/>
    </w:rPr>
  </w:style>
  <w:style w:type="paragraph" w:customStyle="1" w:styleId="FirmaSchlu">
    <w:name w:val="FirmaSchluß"/>
    <w:basedOn w:val="Normal"/>
    <w:rsid w:val="00DD549F"/>
    <w:pPr>
      <w:tabs>
        <w:tab w:val="center" w:pos="6237"/>
      </w:tabs>
      <w:autoSpaceDE w:val="0"/>
      <w:autoSpaceDN w:val="0"/>
      <w:adjustRightInd w:val="0"/>
      <w:ind w:left="705"/>
      <w:jc w:val="both"/>
    </w:pPr>
    <w:rPr>
      <w:rFonts w:ascii="Helv" w:hAnsi="Helv"/>
      <w:color w:val="000000"/>
      <w:szCs w:val="20"/>
    </w:rPr>
  </w:style>
  <w:style w:type="paragraph" w:customStyle="1" w:styleId="Noparagraphstyle">
    <w:name w:val="[No paragraph style]"/>
    <w:rsid w:val="00DD549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 w:eastAsia="fr-FR"/>
    </w:rPr>
  </w:style>
  <w:style w:type="paragraph" w:customStyle="1" w:styleId="Default">
    <w:name w:val="Default"/>
    <w:rsid w:val="00DD5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minutesstyle">
    <w:name w:val="minutes style"/>
    <w:basedOn w:val="Normal"/>
    <w:rsid w:val="00DD549F"/>
    <w:rPr>
      <w:rFonts w:ascii="Arial" w:hAnsi="Arial"/>
      <w:szCs w:val="20"/>
      <w:lang w:eastAsia="en-US"/>
    </w:rPr>
  </w:style>
  <w:style w:type="character" w:customStyle="1" w:styleId="Heading5Char">
    <w:name w:val="Heading 5 Char"/>
    <w:rsid w:val="00DD549F"/>
    <w:rPr>
      <w:b/>
      <w:bCs/>
      <w:i/>
      <w:iCs/>
      <w:sz w:val="26"/>
      <w:szCs w:val="26"/>
      <w:lang w:val="de-DE" w:eastAsia="de-DE" w:bidi="ar-SA"/>
    </w:rPr>
  </w:style>
  <w:style w:type="paragraph" w:customStyle="1" w:styleId="Overskrift">
    <w:name w:val="Overskrift"/>
    <w:basedOn w:val="Normal"/>
    <w:next w:val="Normal"/>
    <w:rsid w:val="00DD549F"/>
    <w:pPr>
      <w:spacing w:after="240"/>
      <w:jc w:val="both"/>
    </w:pPr>
    <w:rPr>
      <w:b/>
      <w:szCs w:val="20"/>
    </w:rPr>
  </w:style>
  <w:style w:type="paragraph" w:customStyle="1" w:styleId="000">
    <w:name w:val="000"/>
    <w:aliases w:val="standaard"/>
    <w:basedOn w:val="Normal"/>
    <w:rsid w:val="00DD549F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 w:eastAsia="en-US"/>
    </w:rPr>
  </w:style>
  <w:style w:type="paragraph" w:styleId="NormalIndent">
    <w:name w:val="Normal Indent"/>
    <w:basedOn w:val="Normal"/>
    <w:rsid w:val="00DD549F"/>
    <w:pPr>
      <w:spacing w:after="180" w:line="288" w:lineRule="auto"/>
      <w:ind w:left="709"/>
    </w:pPr>
    <w:rPr>
      <w:rFonts w:ascii="Arial" w:hAnsi="Arial"/>
      <w:noProof/>
      <w:sz w:val="20"/>
      <w:szCs w:val="20"/>
      <w:lang w:eastAsia="en-US"/>
    </w:rPr>
  </w:style>
  <w:style w:type="paragraph" w:customStyle="1" w:styleId="NormalBefore3pt">
    <w:name w:val="Normal + Before:  3 pt"/>
    <w:aliases w:val="After:  0 pt"/>
    <w:basedOn w:val="Normal"/>
    <w:rsid w:val="00DD549F"/>
    <w:pPr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paragraph" w:customStyle="1" w:styleId="BodyText-CEA">
    <w:name w:val="Body Text - CEA"/>
    <w:basedOn w:val="Normal"/>
    <w:autoRedefine/>
    <w:rsid w:val="00243997"/>
    <w:pPr>
      <w:jc w:val="both"/>
    </w:pPr>
    <w:rPr>
      <w:rFonts w:ascii="Verdana" w:hAnsi="Verdana"/>
      <w:sz w:val="22"/>
      <w:szCs w:val="22"/>
    </w:rPr>
  </w:style>
  <w:style w:type="paragraph" w:customStyle="1" w:styleId="Heading2-CEA">
    <w:name w:val="Heading 2 - CEA"/>
    <w:basedOn w:val="Normal"/>
    <w:rsid w:val="00DD549F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lang w:eastAsia="fr-FR"/>
    </w:rPr>
  </w:style>
  <w:style w:type="paragraph" w:customStyle="1" w:styleId="ACbodynormal">
    <w:name w:val="AC body normal"/>
    <w:rsid w:val="00BB3802"/>
    <w:pPr>
      <w:spacing w:before="100" w:after="100" w:line="200" w:lineRule="atLeast"/>
    </w:pPr>
    <w:rPr>
      <w:sz w:val="21"/>
      <w:lang w:val="en-GB" w:eastAsia="en-US"/>
    </w:rPr>
  </w:style>
  <w:style w:type="character" w:customStyle="1" w:styleId="Heading1-CEACharCharCharCharCharCharCharCharCharCharCharChar">
    <w:name w:val="Heading 1 - CEA Char Char Char Char Char Char Char Char Char Char Char Char"/>
    <w:link w:val="Heading1-CEACharCharCharCharCharCharCharCharCharCharChar"/>
    <w:rsid w:val="00CC4D62"/>
    <w:rPr>
      <w:rFonts w:ascii="Frutiger LT Com 45 Light" w:hAnsi="Frutiger LT Com 45 Light"/>
      <w:b/>
      <w:color w:val="034EA2"/>
      <w:sz w:val="28"/>
      <w:szCs w:val="28"/>
      <w:lang w:val="en-GB" w:eastAsia="fr-FR" w:bidi="ar-SA"/>
    </w:rPr>
  </w:style>
  <w:style w:type="paragraph" w:customStyle="1" w:styleId="Heading1-CEACharCharCharCharCharCharCharCharCharCharChar">
    <w:name w:val="Heading 1 - CEA Char Char Char Char Char Char Char Char Char Char Char"/>
    <w:basedOn w:val="Normal"/>
    <w:link w:val="Heading1-CEACharCharCharCharCharCharCharCharCharCharCharChar"/>
    <w:autoRedefine/>
    <w:rsid w:val="00CC4D62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color w:val="034EA2"/>
      <w:sz w:val="28"/>
      <w:szCs w:val="28"/>
      <w:lang w:eastAsia="fr-FR"/>
    </w:rPr>
  </w:style>
  <w:style w:type="paragraph" w:customStyle="1" w:styleId="List1-CEA">
    <w:name w:val="List 1 -  CEA"/>
    <w:basedOn w:val="Normal"/>
    <w:autoRedefine/>
    <w:rsid w:val="00CC4D62"/>
    <w:pPr>
      <w:autoSpaceDE w:val="0"/>
      <w:autoSpaceDN w:val="0"/>
      <w:adjustRightInd w:val="0"/>
      <w:jc w:val="both"/>
    </w:pPr>
    <w:rPr>
      <w:rFonts w:ascii="Frutiger LT Com 45 Light" w:hAnsi="Frutiger LT Com 45 Light"/>
      <w:sz w:val="20"/>
      <w:szCs w:val="20"/>
      <w:lang w:eastAsia="en-US"/>
    </w:rPr>
  </w:style>
  <w:style w:type="paragraph" w:customStyle="1" w:styleId="Heading1-CEA">
    <w:name w:val="Heading 1 - CEA"/>
    <w:basedOn w:val="Normal"/>
    <w:autoRedefine/>
    <w:rsid w:val="00622E5F"/>
    <w:pPr>
      <w:autoSpaceDE w:val="0"/>
      <w:autoSpaceDN w:val="0"/>
      <w:adjustRightInd w:val="0"/>
    </w:pPr>
    <w:rPr>
      <w:rFonts w:ascii="Frutiger LT Com 45 Light" w:hAnsi="Frutiger LT Com 45 Light"/>
      <w:b/>
      <w:color w:val="034EA2"/>
      <w:sz w:val="28"/>
      <w:szCs w:val="28"/>
      <w:lang w:eastAsia="en-US"/>
    </w:rPr>
  </w:style>
  <w:style w:type="paragraph" w:customStyle="1" w:styleId="Text">
    <w:name w:val="Text"/>
    <w:basedOn w:val="Normal"/>
    <w:rsid w:val="00226071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eastAsia="en-US"/>
    </w:rPr>
  </w:style>
  <w:style w:type="paragraph" w:customStyle="1" w:styleId="Bullet">
    <w:name w:val="Bullet"/>
    <w:basedOn w:val="Normal"/>
    <w:rsid w:val="00226071"/>
    <w:pPr>
      <w:numPr>
        <w:numId w:val="3"/>
      </w:num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eastAsia="en-US"/>
    </w:rPr>
  </w:style>
  <w:style w:type="paragraph" w:customStyle="1" w:styleId="a">
    <w:name w:val="(a)"/>
    <w:basedOn w:val="BodyText"/>
    <w:rsid w:val="0030434D"/>
    <w:pPr>
      <w:spacing w:after="240"/>
      <w:ind w:left="720" w:hanging="720"/>
      <w:jc w:val="both"/>
    </w:pPr>
    <w:rPr>
      <w:lang w:val="en-GB" w:eastAsia="en-US"/>
    </w:rPr>
  </w:style>
  <w:style w:type="paragraph" w:customStyle="1" w:styleId="i">
    <w:name w:val="(i)"/>
    <w:basedOn w:val="BodyText"/>
    <w:rsid w:val="0030434D"/>
    <w:pPr>
      <w:tabs>
        <w:tab w:val="right" w:pos="1296"/>
      </w:tabs>
      <w:spacing w:after="240"/>
      <w:ind w:left="1440" w:hanging="1440"/>
      <w:jc w:val="both"/>
    </w:pPr>
    <w:rPr>
      <w:lang w:val="en-GB" w:eastAsia="en-US"/>
    </w:rPr>
  </w:style>
  <w:style w:type="character" w:styleId="CommentReference">
    <w:name w:val="annotation reference"/>
    <w:uiPriority w:val="99"/>
    <w:semiHidden/>
    <w:rsid w:val="003948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488F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semiHidden/>
    <w:rsid w:val="0039488F"/>
    <w:rPr>
      <w:b/>
      <w:bCs/>
    </w:rPr>
  </w:style>
  <w:style w:type="paragraph" w:customStyle="1" w:styleId="DocTitle">
    <w:name w:val="DocTitle"/>
    <w:basedOn w:val="Normal"/>
    <w:rsid w:val="003424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Verdana" w:eastAsia="MS Mincho" w:hAnsi="Verdana"/>
      <w:b/>
      <w:sz w:val="48"/>
      <w:szCs w:val="48"/>
      <w:lang w:eastAsia="ja-JP"/>
    </w:rPr>
  </w:style>
  <w:style w:type="paragraph" w:customStyle="1" w:styleId="Paragraph">
    <w:name w:val="Paragraph"/>
    <w:basedOn w:val="Normal"/>
    <w:rsid w:val="00C5529D"/>
    <w:pPr>
      <w:spacing w:after="120"/>
      <w:jc w:val="both"/>
    </w:pPr>
    <w:rPr>
      <w:rFonts w:ascii="Arial" w:eastAsia="Arial Unicode MS" w:hAnsi="Arial"/>
      <w:sz w:val="18"/>
      <w:szCs w:val="18"/>
      <w:lang w:eastAsia="nl-NL"/>
    </w:rPr>
  </w:style>
  <w:style w:type="paragraph" w:customStyle="1" w:styleId="Numberedparagraph">
    <w:name w:val="Numbered paragraph"/>
    <w:rsid w:val="008A5809"/>
    <w:pPr>
      <w:numPr>
        <w:numId w:val="4"/>
      </w:numPr>
      <w:spacing w:after="240" w:line="280" w:lineRule="atLeast"/>
      <w:jc w:val="both"/>
    </w:pPr>
    <w:rPr>
      <w:rFonts w:ascii="Arial" w:hAnsi="Arial"/>
      <w:sz w:val="22"/>
      <w:lang w:val="en-GB" w:eastAsia="en-US"/>
    </w:rPr>
  </w:style>
  <w:style w:type="paragraph" w:customStyle="1" w:styleId="QISIndentCharCharChar">
    <w:name w:val="QISIndent Char Char Char"/>
    <w:basedOn w:val="Normal"/>
    <w:rsid w:val="008C3429"/>
    <w:pPr>
      <w:spacing w:after="240"/>
      <w:ind w:left="1134"/>
      <w:jc w:val="both"/>
    </w:pPr>
    <w:rPr>
      <w:rFonts w:ascii="Verdana" w:eastAsia="MS Mincho" w:hAnsi="Verdana"/>
      <w:sz w:val="22"/>
      <w:szCs w:val="20"/>
      <w:lang w:eastAsia="ja-JP"/>
    </w:rPr>
  </w:style>
  <w:style w:type="paragraph" w:customStyle="1" w:styleId="QISTextCharCharCharCharCharCharCharCharCharCharCharCharChar1CharChar">
    <w:name w:val="QISText Char Char Char Char Char Char Char Char Char Char Char Char Char1 Char Char"/>
    <w:basedOn w:val="Normal"/>
    <w:rsid w:val="006C6E24"/>
    <w:pPr>
      <w:numPr>
        <w:ilvl w:val="1"/>
        <w:numId w:val="5"/>
      </w:numPr>
      <w:spacing w:after="240"/>
      <w:jc w:val="both"/>
    </w:pPr>
    <w:rPr>
      <w:rFonts w:ascii="Verdana" w:eastAsia="MS Mincho" w:hAnsi="Verdana"/>
      <w:sz w:val="22"/>
      <w:szCs w:val="22"/>
      <w:lang w:eastAsia="ja-JP"/>
    </w:rPr>
  </w:style>
  <w:style w:type="table" w:styleId="TableGrid">
    <w:name w:val="Table Grid"/>
    <w:basedOn w:val="TableNormal"/>
    <w:rsid w:val="003D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rsid w:val="005F1E2A"/>
    <w:rPr>
      <w:lang w:val="de-DE" w:eastAsia="de-DE"/>
    </w:rPr>
  </w:style>
  <w:style w:type="paragraph" w:customStyle="1" w:styleId="ListParagraph1">
    <w:name w:val="List Paragraph1"/>
    <w:basedOn w:val="Normal"/>
    <w:uiPriority w:val="34"/>
    <w:qFormat/>
    <w:rsid w:val="005F1E2A"/>
    <w:pPr>
      <w:ind w:left="708"/>
    </w:pPr>
    <w:rPr>
      <w:lang w:eastAsia="en-GB"/>
    </w:rPr>
  </w:style>
  <w:style w:type="character" w:customStyle="1" w:styleId="BodyTextChar">
    <w:name w:val="Body Text Char"/>
    <w:link w:val="BodyText"/>
    <w:uiPriority w:val="99"/>
    <w:rsid w:val="007E3875"/>
    <w:rPr>
      <w:sz w:val="24"/>
      <w:szCs w:val="24"/>
      <w:lang w:val="de-DE" w:eastAsia="de-DE"/>
    </w:rPr>
  </w:style>
  <w:style w:type="character" w:styleId="Strong">
    <w:name w:val="Strong"/>
    <w:uiPriority w:val="22"/>
    <w:qFormat/>
    <w:rsid w:val="007E3875"/>
    <w:rPr>
      <w:b/>
      <w:bCs/>
    </w:rPr>
  </w:style>
  <w:style w:type="character" w:customStyle="1" w:styleId="FooterChar">
    <w:name w:val="Footer Char"/>
    <w:link w:val="Footer"/>
    <w:uiPriority w:val="99"/>
    <w:rsid w:val="00A95D0F"/>
    <w:rPr>
      <w:sz w:val="24"/>
      <w:szCs w:val="24"/>
      <w:lang w:val="de-DE" w:eastAsia="de-DE"/>
    </w:rPr>
  </w:style>
  <w:style w:type="paragraph" w:customStyle="1" w:styleId="04aNumeration">
    <w:name w:val="04a_Numeration"/>
    <w:basedOn w:val="Normal"/>
    <w:uiPriority w:val="99"/>
    <w:rsid w:val="006508B8"/>
    <w:pPr>
      <w:numPr>
        <w:numId w:val="7"/>
      </w:numPr>
      <w:spacing w:after="250" w:line="276" w:lineRule="auto"/>
      <w:jc w:val="both"/>
    </w:pPr>
    <w:rPr>
      <w:rFonts w:ascii="Georgia" w:hAnsi="Georgia"/>
      <w:szCs w:val="20"/>
    </w:rPr>
  </w:style>
  <w:style w:type="paragraph" w:customStyle="1" w:styleId="ManualNumPar1">
    <w:name w:val="Manual NumPar 1"/>
    <w:basedOn w:val="Normal"/>
    <w:next w:val="Normal"/>
    <w:link w:val="ManualNumPar1Char"/>
    <w:rsid w:val="00A5091C"/>
    <w:pPr>
      <w:spacing w:before="120" w:after="120"/>
      <w:ind w:left="850" w:hanging="850"/>
      <w:jc w:val="both"/>
    </w:pPr>
  </w:style>
  <w:style w:type="character" w:customStyle="1" w:styleId="ManualNumPar1Char">
    <w:name w:val="Manual NumPar 1 Char"/>
    <w:link w:val="ManualNumPar1"/>
    <w:rsid w:val="00A5091C"/>
    <w:rPr>
      <w:sz w:val="24"/>
      <w:szCs w:val="24"/>
      <w:lang w:eastAsia="de-DE"/>
    </w:rPr>
  </w:style>
  <w:style w:type="paragraph" w:customStyle="1" w:styleId="Chapter">
    <w:name w:val="Chapter"/>
    <w:basedOn w:val="Normal"/>
    <w:next w:val="Normal"/>
    <w:rsid w:val="00E90914"/>
    <w:pPr>
      <w:keepNext/>
      <w:numPr>
        <w:ilvl w:val="1"/>
        <w:numId w:val="10"/>
      </w:numPr>
      <w:spacing w:before="480" w:after="240"/>
      <w:contextualSpacing/>
      <w:jc w:val="center"/>
      <w:outlineLvl w:val="1"/>
    </w:pPr>
    <w:rPr>
      <w:b/>
      <w:lang w:eastAsia="en-US"/>
    </w:rPr>
  </w:style>
  <w:style w:type="paragraph" w:customStyle="1" w:styleId="Article">
    <w:name w:val="Article"/>
    <w:basedOn w:val="Normal"/>
    <w:next w:val="Normal"/>
    <w:rsid w:val="00E90914"/>
    <w:pPr>
      <w:keepNext/>
      <w:numPr>
        <w:ilvl w:val="2"/>
        <w:numId w:val="10"/>
      </w:numPr>
      <w:spacing w:after="240"/>
      <w:contextualSpacing/>
      <w:outlineLvl w:val="2"/>
    </w:pPr>
    <w:rPr>
      <w:b/>
      <w:lang w:eastAsia="en-US"/>
    </w:rPr>
  </w:style>
  <w:style w:type="numbering" w:customStyle="1" w:styleId="Decision">
    <w:name w:val="Decision"/>
    <w:basedOn w:val="NoList"/>
    <w:rsid w:val="00E90914"/>
    <w:pPr>
      <w:numPr>
        <w:numId w:val="37"/>
      </w:numPr>
    </w:pPr>
  </w:style>
  <w:style w:type="paragraph" w:customStyle="1" w:styleId="Titles">
    <w:name w:val="Titles"/>
    <w:basedOn w:val="Normal"/>
    <w:next w:val="Chapter"/>
    <w:rsid w:val="00E90914"/>
    <w:pPr>
      <w:keepNext/>
      <w:numPr>
        <w:numId w:val="10"/>
      </w:numPr>
      <w:spacing w:before="480" w:after="240"/>
      <w:contextualSpacing/>
      <w:jc w:val="center"/>
      <w:outlineLvl w:val="0"/>
    </w:pPr>
    <w:rPr>
      <w:b/>
      <w:caps/>
      <w:lang w:eastAsia="en-US"/>
    </w:rPr>
  </w:style>
  <w:style w:type="paragraph" w:customStyle="1" w:styleId="Para1">
    <w:name w:val="Para 1."/>
    <w:basedOn w:val="Normal"/>
    <w:rsid w:val="00E90914"/>
    <w:pPr>
      <w:numPr>
        <w:ilvl w:val="3"/>
        <w:numId w:val="10"/>
      </w:numPr>
      <w:spacing w:after="240"/>
      <w:outlineLvl w:val="3"/>
    </w:pPr>
    <w:rPr>
      <w:lang w:eastAsia="en-US"/>
    </w:rPr>
  </w:style>
  <w:style w:type="paragraph" w:customStyle="1" w:styleId="Sub-paraa">
    <w:name w:val="Sub-para (a)"/>
    <w:basedOn w:val="Normal"/>
    <w:rsid w:val="00E90914"/>
    <w:pPr>
      <w:numPr>
        <w:ilvl w:val="4"/>
        <w:numId w:val="10"/>
      </w:numPr>
      <w:spacing w:after="240"/>
      <w:outlineLvl w:val="4"/>
    </w:pPr>
    <w:rPr>
      <w:lang w:eastAsia="en-US"/>
    </w:rPr>
  </w:style>
  <w:style w:type="paragraph" w:customStyle="1" w:styleId="Sub-parai">
    <w:name w:val="Sub-para (i)"/>
    <w:basedOn w:val="Normal"/>
    <w:rsid w:val="00E90914"/>
    <w:pPr>
      <w:numPr>
        <w:ilvl w:val="5"/>
        <w:numId w:val="10"/>
      </w:numPr>
      <w:spacing w:after="240"/>
      <w:outlineLvl w:val="5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47C09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B47C09"/>
    <w:rPr>
      <w:rFonts w:ascii="Calibri" w:hAnsi="Calibri"/>
      <w:sz w:val="22"/>
      <w:szCs w:val="21"/>
    </w:rPr>
  </w:style>
  <w:style w:type="paragraph" w:customStyle="1" w:styleId="Normale1">
    <w:name w:val="Normale1"/>
    <w:basedOn w:val="Normal"/>
    <w:rsid w:val="008913C9"/>
    <w:pPr>
      <w:widowControl w:val="0"/>
    </w:pPr>
    <w:rPr>
      <w:rFonts w:ascii="Arial" w:eastAsia="Arial" w:hAnsi="Arial" w:cs="Arial"/>
      <w:sz w:val="22"/>
      <w:szCs w:val="20"/>
      <w:lang w:val="it-IT" w:eastAsia="it-IT"/>
    </w:rPr>
  </w:style>
  <w:style w:type="paragraph" w:styleId="ListParagraph">
    <w:name w:val="List Paragraph"/>
    <w:basedOn w:val="Normal"/>
    <w:uiPriority w:val="34"/>
    <w:qFormat/>
    <w:rsid w:val="00534793"/>
    <w:pPr>
      <w:ind w:left="720"/>
      <w:contextualSpacing/>
    </w:pPr>
  </w:style>
  <w:style w:type="character" w:customStyle="1" w:styleId="tl8wme">
    <w:name w:val="tl8wme"/>
    <w:basedOn w:val="DefaultParagraphFont"/>
    <w:rsid w:val="0062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15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4393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6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372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8576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nsultation%20Papers%20and%20Issues%20Papers\Consultation_Papers_Tool\Templates\EIOPA_Template%20Comments%20and%20Resolutions%20on%20Consultation%20Paper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9944A0A960814BBE0F6FED9A9B0CDB" ma:contentTypeVersion="0" ma:contentTypeDescription="Creare un nuovo documento." ma:contentTypeScope="" ma:versionID="c862b6dc2d8b1d2a269ec8229956b5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F828E-C731-40EE-A06B-241EED54A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FF90DD-4880-45E1-9B40-6326D1048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ACFE7-BA95-46FC-A2FC-EF79B385F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EIOPA_Template Comments and Resolutions on Consultation Papers.dot</Template>
  <TotalTime>41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ABI</vt:lpstr>
    </vt:vector>
  </TitlesOfParts>
  <Company>Ceiops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Scarangella (IVASS)</dc:creator>
  <cp:lastModifiedBy>Francesco Cuzzucrea</cp:lastModifiedBy>
  <cp:revision>9</cp:revision>
  <cp:lastPrinted>2017-11-23T10:31:00Z</cp:lastPrinted>
  <dcterms:created xsi:type="dcterms:W3CDTF">2018-02-12T10:29:00Z</dcterms:created>
  <dcterms:modified xsi:type="dcterms:W3CDTF">2018-02-12T11:08:00Z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0x0101003D9944A0A960814BBE0F6FED9A9B0CDB</vt:lpwstr>
  </property>
</Properties>
</file>