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7A32" w14:textId="77777777" w:rsidR="009A795D" w:rsidRPr="0028633A" w:rsidRDefault="009A795D" w:rsidP="00691909">
      <w:pPr>
        <w:rPr>
          <w:rFonts w:ascii="Verdana" w:hAnsi="Verdana"/>
          <w:sz w:val="22"/>
          <w:szCs w:val="22"/>
          <w:lang w:val="it-IT"/>
        </w:rPr>
      </w:pPr>
      <w:bookmarkStart w:id="0" w:name="_GoBack"/>
      <w:bookmarkEnd w:id="0"/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91909" w:rsidRPr="00D9577A" w14:paraId="48DACAC9" w14:textId="77777777" w:rsidTr="00D642AD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2993BF96" w14:textId="77777777" w:rsidR="00691909" w:rsidRPr="0028633A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sz w:val="22"/>
                <w:szCs w:val="22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14:paraId="242994CB" w14:textId="249CB990" w:rsidR="007730F3" w:rsidRPr="0028633A" w:rsidRDefault="00936056" w:rsidP="00936056">
            <w:pPr>
              <w:spacing w:before="120" w:after="120"/>
              <w:ind w:left="278" w:right="364"/>
              <w:jc w:val="center"/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DOCUMENTO DI CONSULTAZIONE N</w:t>
            </w:r>
            <w:r w:rsidR="00691909" w:rsidRPr="0028633A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 xml:space="preserve">. </w:t>
            </w:r>
            <w:r w:rsidR="00565976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9</w:t>
            </w:r>
            <w:r w:rsidR="00855ED4"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it-IT"/>
              </w:rPr>
              <w:t>/</w:t>
            </w:r>
            <w:r w:rsidR="00691909" w:rsidRPr="0028633A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201</w:t>
            </w:r>
            <w:r w:rsidR="00C25431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8</w:t>
            </w:r>
          </w:p>
          <w:p w14:paraId="6A3DE52B" w14:textId="77777777" w:rsidR="00C25431" w:rsidRPr="00C25431" w:rsidRDefault="00FF4723" w:rsidP="00C25431">
            <w:pPr>
              <w:autoSpaceDE w:val="0"/>
              <w:autoSpaceDN w:val="0"/>
              <w:adjustRightInd w:val="0"/>
              <w:spacing w:after="120"/>
              <w:ind w:right="364"/>
              <w:jc w:val="both"/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</w:pPr>
            <w:r w:rsidRPr="00FF4723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SCHEMA DI REGOLAMENTO IVASS </w:t>
            </w:r>
            <w:r w:rsidR="00C25431" w:rsidRPr="00C25431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>CONCERNENTE L’ATTUAZIONE DELLE DISPOSIZIONI SULLA SOSPENSIONE TEMPORANEA DELLE MINUSVALENZE NEI TITOLI NON DUREVOLI INTRODOTTA DAL DECRETO LEGGE 23 OTTOBRE 2018, N.119 RECANTE DISPOSIZIONI URGENTI IN MATERIA FISCALE E FINANZIARIA, CONVERTITO CON LEGGE 17 DICEMBRE 2018, N. 136.</w:t>
            </w:r>
          </w:p>
          <w:p w14:paraId="638D9004" w14:textId="77777777" w:rsidR="00691909" w:rsidRPr="0028633A" w:rsidRDefault="00691909" w:rsidP="00FF4723">
            <w:pPr>
              <w:autoSpaceDE w:val="0"/>
              <w:autoSpaceDN w:val="0"/>
              <w:adjustRightInd w:val="0"/>
              <w:spacing w:after="120"/>
              <w:ind w:right="364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</w:pPr>
          </w:p>
        </w:tc>
      </w:tr>
      <w:tr w:rsidR="00691909" w:rsidRPr="00D9577A" w14:paraId="3F0C4DC2" w14:textId="77777777" w:rsidTr="00D642AD"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A258FD" w14:textId="77777777" w:rsidR="00691909" w:rsidRPr="0028633A" w:rsidRDefault="00691909" w:rsidP="00565976">
            <w:pPr>
              <w:spacing w:before="120"/>
              <w:ind w:right="222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Legenda</w:t>
            </w:r>
          </w:p>
          <w:p w14:paraId="4B3C9ED4" w14:textId="77777777" w:rsidR="00691909" w:rsidRPr="0028633A" w:rsidRDefault="00691909" w:rsidP="00565976">
            <w:pPr>
              <w:spacing w:before="120"/>
              <w:ind w:right="222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riga “Commentatore” i singoli soggetti dovranno inserire la loro denominazione (anche in forma abbreviata).</w:t>
            </w:r>
          </w:p>
          <w:p w14:paraId="6FA5F857" w14:textId="77777777" w:rsidR="00691909" w:rsidRPr="0028633A" w:rsidRDefault="00691909" w:rsidP="00565976">
            <w:pPr>
              <w:spacing w:before="120"/>
              <w:ind w:right="222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riga “Osservazioni generali” i singoli soggetti potranno inserire commenti di carattere generale.</w:t>
            </w:r>
          </w:p>
          <w:p w14:paraId="4D350CD4" w14:textId="77777777" w:rsidR="00691909" w:rsidRPr="0028633A" w:rsidRDefault="00691909" w:rsidP="00565976">
            <w:pPr>
              <w:spacing w:before="120"/>
              <w:ind w:right="222"/>
              <w:jc w:val="both"/>
              <w:rPr>
                <w:rFonts w:ascii="Verdana" w:hAnsi="Verdana"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Nelle colonne “Articolo” e “Comma” andranno inseriti, rispettivamente, l’articolo e il comma cui si riferisce l’osservazione e la proposta di modifica.</w:t>
            </w:r>
          </w:p>
          <w:p w14:paraId="0739F829" w14:textId="77777777" w:rsidR="00691909" w:rsidRPr="0028633A" w:rsidRDefault="00691909" w:rsidP="00565976">
            <w:pPr>
              <w:spacing w:before="120"/>
              <w:ind w:right="222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colonna “Osservazioni e proposte” andranno inserite le osservazioni specifiche e le proposte di modifica.</w:t>
            </w:r>
          </w:p>
          <w:p w14:paraId="55F1F9E3" w14:textId="77777777" w:rsidR="00691909" w:rsidRPr="0028633A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691909" w:rsidRPr="00C25431" w14:paraId="052A7213" w14:textId="77777777" w:rsidTr="00D642AD">
        <w:tc>
          <w:tcPr>
            <w:tcW w:w="3369" w:type="dxa"/>
            <w:gridSpan w:val="3"/>
            <w:shd w:val="clear" w:color="auto" w:fill="F2F2F2"/>
            <w:vAlign w:val="center"/>
          </w:tcPr>
          <w:p w14:paraId="560FF294" w14:textId="77777777" w:rsidR="00691909" w:rsidRPr="0028633A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Commentatore</w:t>
            </w:r>
          </w:p>
          <w:p w14:paraId="3CD9EF35" w14:textId="77777777" w:rsidR="005835C5" w:rsidRPr="0028633A" w:rsidRDefault="005835C5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14:paraId="0FBA9D1F" w14:textId="2F0E281A" w:rsidR="00691909" w:rsidRPr="0028633A" w:rsidRDefault="00D9577A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Ordine Nazionale degli Attuari</w:t>
            </w:r>
          </w:p>
        </w:tc>
      </w:tr>
      <w:tr w:rsidR="00691909" w:rsidRPr="00B10BCE" w14:paraId="57EA3695" w14:textId="77777777" w:rsidTr="00D642AD">
        <w:trPr>
          <w:trHeight w:val="3782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670524" w14:textId="77777777" w:rsidR="00691909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3CFF6F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4620187F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8588B70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14:paraId="696CC625" w14:textId="77777777" w:rsidTr="00D642AD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4F3CC560" w14:textId="77777777"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1909" w:rsidRPr="00B10BCE" w14:paraId="15D7E9E9" w14:textId="77777777" w:rsidTr="00D642AD">
        <w:tc>
          <w:tcPr>
            <w:tcW w:w="1668" w:type="dxa"/>
            <w:gridSpan w:val="2"/>
            <w:shd w:val="clear" w:color="auto" w:fill="F2F2F2"/>
            <w:vAlign w:val="center"/>
          </w:tcPr>
          <w:p w14:paraId="0CFA6438" w14:textId="77777777"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CE36599" w14:textId="77777777"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14:paraId="3ABD93B2" w14:textId="77777777" w:rsidR="00691909" w:rsidRPr="009B0ED1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9B0ED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D9577A" w14:paraId="20A3BA4E" w14:textId="77777777" w:rsidTr="009B0ED1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5BF" w14:textId="2231FAC7" w:rsidR="00691909" w:rsidRPr="009B0ED1" w:rsidRDefault="009B0ED1" w:rsidP="009B0ED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0ED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Art.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6968" w14:textId="5DF9676F" w:rsidR="00691909" w:rsidRPr="009B0ED1" w:rsidRDefault="009B0ED1" w:rsidP="009B0ED1">
            <w:pPr>
              <w:pStyle w:val="Testocommento"/>
              <w:tabs>
                <w:tab w:val="left" w:pos="34"/>
              </w:tabs>
              <w:ind w:left="34" w:hanging="34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9B0ED1">
              <w:rPr>
                <w:rFonts w:ascii="Verdana" w:hAnsi="Verdana"/>
                <w:b/>
                <w:color w:val="000000"/>
                <w:lang w:val="en-US"/>
              </w:rPr>
              <w:t>Comma 1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704" w14:textId="64D30702" w:rsidR="005C08D7" w:rsidRPr="009B0ED1" w:rsidRDefault="009B0ED1" w:rsidP="005C08D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2"/>
                <w:lang w:val="it-IT"/>
              </w:rPr>
            </w:pPr>
            <w:r w:rsidRPr="009B0ED1">
              <w:rPr>
                <w:rFonts w:ascii="Verdana" w:hAnsi="Verdana"/>
                <w:bCs/>
                <w:color w:val="000000"/>
                <w:sz w:val="20"/>
                <w:szCs w:val="22"/>
                <w:lang w:val="it-IT"/>
              </w:rPr>
              <w:t xml:space="preserve">Il testo </w:t>
            </w:r>
            <w:r>
              <w:rPr>
                <w:rFonts w:ascii="Verdana" w:hAnsi="Verdana"/>
                <w:bCs/>
                <w:color w:val="000000"/>
                <w:sz w:val="20"/>
                <w:szCs w:val="22"/>
                <w:lang w:val="it-IT"/>
              </w:rPr>
              <w:t>del Comma 1</w:t>
            </w:r>
            <w:r w:rsidRPr="009B0ED1">
              <w:rPr>
                <w:rFonts w:ascii="Verdana" w:hAnsi="Verdana"/>
                <w:bCs/>
                <w:color w:val="000000"/>
                <w:sz w:val="20"/>
                <w:szCs w:val="22"/>
                <w:lang w:val="it-IT"/>
              </w:rPr>
              <w:t xml:space="preserve"> “</w:t>
            </w:r>
            <w:r w:rsidRPr="009B0ED1">
              <w:rPr>
                <w:rFonts w:ascii="Verdana" w:hAnsi="Verdana" w:cs="Arial"/>
                <w:i/>
                <w:sz w:val="20"/>
                <w:szCs w:val="22"/>
                <w:lang w:val="it-IT" w:eastAsia="it-IT"/>
              </w:rPr>
              <w:t>L’impresa che esercita la facoltà di cui all’articolo 4, comma 1, accantona un importo di utili pari all’ammontare della differenza tra i valori iscritti nel bilancio 2017 e i relativi valori desumibili dall’andamento di mercato al 31 dicembre 2018, al netto dell’onere fiscale.</w:t>
            </w:r>
            <w:r w:rsidRPr="009B0ED1">
              <w:rPr>
                <w:rFonts w:ascii="Verdana" w:hAnsi="Verdana" w:cs="Arial"/>
                <w:sz w:val="20"/>
                <w:szCs w:val="22"/>
                <w:lang w:val="it-IT" w:eastAsia="it-IT"/>
              </w:rPr>
              <w:t>”</w:t>
            </w:r>
            <w:r>
              <w:rPr>
                <w:rFonts w:ascii="Verdana" w:hAnsi="Verdana" w:cs="Arial"/>
                <w:sz w:val="20"/>
                <w:szCs w:val="22"/>
                <w:lang w:val="it-IT" w:eastAsia="it-IT"/>
              </w:rPr>
              <w:t>, sembra non prendere in considerazione nella Riserva Disponibile, le differenze di valore</w:t>
            </w:r>
            <w:r w:rsid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>,</w:t>
            </w:r>
            <w:r>
              <w:rPr>
                <w:rFonts w:ascii="Verdana" w:hAnsi="Verdana" w:cs="Arial"/>
                <w:sz w:val="20"/>
                <w:szCs w:val="22"/>
                <w:lang w:val="it-IT" w:eastAsia="it-IT"/>
              </w:rPr>
              <w:t xml:space="preserve"> per i titoli non presenti nel portafoglio al 31 dicembre 2017, tra il costo di acquisizione </w:t>
            </w:r>
            <w:r w:rsidRPr="009B0ED1">
              <w:rPr>
                <w:rFonts w:ascii="Verdana" w:hAnsi="Verdana" w:cs="Arial"/>
                <w:sz w:val="20"/>
                <w:szCs w:val="22"/>
                <w:lang w:val="it-IT" w:eastAsia="it-IT"/>
              </w:rPr>
              <w:t>e i relativi valori desumibili dall’andamento di mercato al 31 dicembre 2018</w:t>
            </w:r>
            <w:r>
              <w:rPr>
                <w:rFonts w:ascii="Verdana" w:hAnsi="Verdana" w:cs="Arial"/>
                <w:sz w:val="20"/>
                <w:szCs w:val="22"/>
                <w:lang w:val="it-IT" w:eastAsia="it-IT"/>
              </w:rPr>
              <w:t>.</w:t>
            </w:r>
            <w:r w:rsid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 xml:space="preserve"> Questo non sembra coerente con la facoltà accordata all’Art. 4 Comma 1 di </w:t>
            </w:r>
            <w:r w:rsidR="005C08D7" w:rsidRP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>valuta</w:t>
            </w:r>
            <w:r w:rsid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>re</w:t>
            </w:r>
            <w:r w:rsidR="005C08D7" w:rsidRP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 xml:space="preserve"> </w:t>
            </w:r>
            <w:r w:rsid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 xml:space="preserve">al 31 dicembre 2018, </w:t>
            </w:r>
            <w:r w:rsidR="005C08D7" w:rsidRP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>i titoli non presenti nel portafoglio al 31 dicembre</w:t>
            </w:r>
            <w:r w:rsid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 xml:space="preserve"> </w:t>
            </w:r>
            <w:r w:rsidR="005C08D7" w:rsidRP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>2017, al costo d’acquisizione</w:t>
            </w:r>
            <w:r w:rsidR="005C08D7">
              <w:rPr>
                <w:rFonts w:ascii="Verdana" w:hAnsi="Verdana" w:cs="Arial"/>
                <w:sz w:val="20"/>
                <w:szCs w:val="22"/>
                <w:lang w:val="it-IT" w:eastAsia="it-IT"/>
              </w:rPr>
              <w:t>.</w:t>
            </w:r>
          </w:p>
          <w:p w14:paraId="5FBB7413" w14:textId="51CA9C0B" w:rsidR="00691909" w:rsidRDefault="005C08D7" w:rsidP="005C08D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2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2"/>
                <w:lang w:val="it-IT"/>
              </w:rPr>
              <w:t>Si propone pertanto di sostituire il Comma in oggetto con la seguente formulazione:</w:t>
            </w:r>
          </w:p>
          <w:p w14:paraId="23F59D64" w14:textId="728954B2" w:rsidR="005C08D7" w:rsidRPr="009B0ED1" w:rsidRDefault="005C08D7" w:rsidP="005C08D7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2"/>
                <w:lang w:val="it-IT"/>
              </w:rPr>
            </w:pPr>
            <w:r w:rsidRPr="005C08D7">
              <w:rPr>
                <w:rFonts w:ascii="Verdana" w:hAnsi="Verdana"/>
                <w:bCs/>
                <w:i/>
                <w:color w:val="000000"/>
                <w:sz w:val="20"/>
                <w:szCs w:val="22"/>
                <w:lang w:val="it-IT"/>
              </w:rPr>
              <w:t>“L’impresa che esercita la facoltà di cui all’articolo 4, comma 1, accantona un importo di utili pari all’ammontare della differenza tra i valori iscritti nel bilancio 2017</w:t>
            </w:r>
            <w:r w:rsidRPr="005C08D7">
              <w:rPr>
                <w:lang w:val="it-IT"/>
              </w:rPr>
              <w:t xml:space="preserve"> </w:t>
            </w:r>
            <w:r w:rsidRPr="005C08D7">
              <w:rPr>
                <w:rFonts w:ascii="Verdana" w:hAnsi="Verdana"/>
                <w:bCs/>
                <w:i/>
                <w:color w:val="000000"/>
                <w:sz w:val="20"/>
                <w:szCs w:val="22"/>
                <w:lang w:val="it-IT"/>
              </w:rPr>
              <w:t>ovvero, per i titoli non presenti nel portafoglio al 31 dicembre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2"/>
                <w:lang w:val="it-IT"/>
              </w:rPr>
              <w:t xml:space="preserve"> </w:t>
            </w:r>
            <w:r w:rsidRPr="005C08D7">
              <w:rPr>
                <w:rFonts w:ascii="Verdana" w:hAnsi="Verdana"/>
                <w:bCs/>
                <w:i/>
                <w:color w:val="000000"/>
                <w:sz w:val="20"/>
                <w:szCs w:val="22"/>
                <w:lang w:val="it-IT"/>
              </w:rPr>
              <w:t xml:space="preserve">2017, 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2"/>
                <w:lang w:val="it-IT"/>
              </w:rPr>
              <w:t xml:space="preserve">i valori pari </w:t>
            </w:r>
            <w:r w:rsidRPr="005C08D7">
              <w:rPr>
                <w:rFonts w:ascii="Verdana" w:hAnsi="Verdana"/>
                <w:bCs/>
                <w:i/>
                <w:color w:val="000000"/>
                <w:sz w:val="20"/>
                <w:szCs w:val="22"/>
                <w:lang w:val="it-IT"/>
              </w:rPr>
              <w:t>al costo d’acquisizione e i relativi valori desumibili dall’andamento di mercato al 31 dicembre 2018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2"/>
                <w:lang w:val="it-IT"/>
              </w:rPr>
              <w:t>, al netto dell’onere fiscale.”</w:t>
            </w:r>
          </w:p>
        </w:tc>
      </w:tr>
      <w:tr w:rsidR="00691909" w:rsidRPr="00D9577A" w14:paraId="7AA9E441" w14:textId="77777777" w:rsidTr="009B0ED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5EC" w14:textId="77777777" w:rsidR="00691909" w:rsidRPr="009B0ED1" w:rsidRDefault="00691909" w:rsidP="009B0ED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026E" w14:textId="77777777" w:rsidR="00691909" w:rsidRPr="009B0ED1" w:rsidRDefault="00691909" w:rsidP="009B0ED1">
            <w:pPr>
              <w:pStyle w:val="Testocommento"/>
              <w:tabs>
                <w:tab w:val="left" w:pos="34"/>
              </w:tabs>
              <w:ind w:left="34" w:hanging="34"/>
              <w:jc w:val="center"/>
              <w:rPr>
                <w:rFonts w:ascii="Verdana" w:hAnsi="Verdana"/>
                <w:b/>
                <w:color w:val="00000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BAE" w14:textId="77777777" w:rsidR="00691909" w:rsidRPr="009B0ED1" w:rsidRDefault="00691909" w:rsidP="009B0ED1">
            <w:pPr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t-IT"/>
              </w:rPr>
            </w:pPr>
          </w:p>
        </w:tc>
      </w:tr>
      <w:tr w:rsidR="00691909" w:rsidRPr="00D9577A" w14:paraId="0E5C95B8" w14:textId="77777777" w:rsidTr="009B0ED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DD8" w14:textId="77777777" w:rsidR="00691909" w:rsidRPr="009B0ED1" w:rsidRDefault="00691909" w:rsidP="009B0ED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779A" w14:textId="77777777" w:rsidR="00691909" w:rsidRPr="009B0ED1" w:rsidRDefault="00691909" w:rsidP="009B0ED1">
            <w:pPr>
              <w:pStyle w:val="Testocommento"/>
              <w:tabs>
                <w:tab w:val="left" w:pos="34"/>
              </w:tabs>
              <w:ind w:left="34" w:hanging="34"/>
              <w:jc w:val="center"/>
              <w:rPr>
                <w:rFonts w:ascii="Verdana" w:hAnsi="Verdana"/>
                <w:b/>
                <w:color w:val="00000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A82" w14:textId="77777777" w:rsidR="00691909" w:rsidRPr="009B0ED1" w:rsidRDefault="00691909" w:rsidP="009B0E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D9577A" w14:paraId="260455F0" w14:textId="77777777" w:rsidTr="009B0ED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7B2E" w14:textId="77777777" w:rsidR="00691909" w:rsidRPr="009B0ED1" w:rsidRDefault="00691909" w:rsidP="009B0ED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4431" w14:textId="77777777" w:rsidR="00691909" w:rsidRPr="009B0ED1" w:rsidRDefault="00691909" w:rsidP="009B0ED1">
            <w:pPr>
              <w:pStyle w:val="Testocommento"/>
              <w:tabs>
                <w:tab w:val="left" w:pos="34"/>
              </w:tabs>
              <w:ind w:left="34" w:hanging="34"/>
              <w:jc w:val="center"/>
              <w:rPr>
                <w:rFonts w:ascii="Verdana" w:hAnsi="Verdana"/>
                <w:b/>
                <w:color w:val="00000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349" w14:textId="77777777" w:rsidR="00691909" w:rsidRPr="009B0ED1" w:rsidRDefault="00691909" w:rsidP="009B0E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D9577A" w14:paraId="731CF5C1" w14:textId="77777777" w:rsidTr="009B0ED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976E" w14:textId="77777777" w:rsidR="00691909" w:rsidRPr="009B0ED1" w:rsidRDefault="00691909" w:rsidP="009B0ED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1620" w14:textId="77777777" w:rsidR="00691909" w:rsidRPr="009B0ED1" w:rsidRDefault="00691909" w:rsidP="009B0ED1">
            <w:pPr>
              <w:pStyle w:val="Testocommento"/>
              <w:tabs>
                <w:tab w:val="left" w:pos="34"/>
              </w:tabs>
              <w:ind w:left="34" w:hanging="34"/>
              <w:jc w:val="center"/>
              <w:rPr>
                <w:rFonts w:ascii="Verdana" w:hAnsi="Verdana"/>
                <w:b/>
                <w:color w:val="00000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830" w14:textId="77777777" w:rsidR="00691909" w:rsidRPr="009B0ED1" w:rsidRDefault="00691909" w:rsidP="009B0E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D9577A" w14:paraId="4EA72547" w14:textId="77777777" w:rsidTr="009B0ED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F6C" w14:textId="77777777" w:rsidR="00691909" w:rsidRPr="009B0ED1" w:rsidRDefault="00691909" w:rsidP="009B0ED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21B3" w14:textId="77777777" w:rsidR="00691909" w:rsidRPr="009B0ED1" w:rsidRDefault="00691909" w:rsidP="009B0ED1">
            <w:pPr>
              <w:pStyle w:val="Testocommento"/>
              <w:tabs>
                <w:tab w:val="left" w:pos="34"/>
              </w:tabs>
              <w:ind w:left="34" w:hanging="34"/>
              <w:jc w:val="center"/>
              <w:rPr>
                <w:rFonts w:ascii="Verdana" w:hAnsi="Verdana"/>
                <w:b/>
                <w:color w:val="00000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418" w14:textId="77777777" w:rsidR="00691909" w:rsidRPr="009B0ED1" w:rsidRDefault="00691909" w:rsidP="009B0ED1">
            <w:pP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D4DF8AB" w14:textId="77777777" w:rsidR="00691909" w:rsidRPr="009B0ED1" w:rsidRDefault="00691909" w:rsidP="00691909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14:paraId="3349BD32" w14:textId="77777777" w:rsidR="00691909" w:rsidRPr="009B0ED1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sectPr w:rsidR="00691909" w:rsidRPr="009B0ED1" w:rsidSect="00185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C20A" w14:textId="77777777" w:rsidR="00660661" w:rsidRDefault="00660661">
      <w:r>
        <w:separator/>
      </w:r>
    </w:p>
  </w:endnote>
  <w:endnote w:type="continuationSeparator" w:id="0">
    <w:p w14:paraId="374CBCF1" w14:textId="77777777" w:rsidR="00660661" w:rsidRDefault="006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5D01" w14:textId="77777777" w:rsidR="00A562B1" w:rsidRDefault="000E29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8DEA79" w14:textId="77777777"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9228" w14:textId="77777777"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6128" w14:textId="77777777" w:rsidR="00DD0654" w:rsidRDefault="00DD06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E4A0" w14:textId="77777777" w:rsidR="00660661" w:rsidRDefault="00660661">
      <w:r>
        <w:separator/>
      </w:r>
    </w:p>
  </w:footnote>
  <w:footnote w:type="continuationSeparator" w:id="0">
    <w:p w14:paraId="454514BF" w14:textId="77777777" w:rsidR="00660661" w:rsidRDefault="0066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FADC" w14:textId="77777777" w:rsidR="00DD0654" w:rsidRDefault="00DD06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3B054" w14:textId="77777777" w:rsidR="00A562B1" w:rsidRDefault="00DD0654" w:rsidP="00185E5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8258592" wp14:editId="2281EB5D">
          <wp:extent cx="2595880" cy="840740"/>
          <wp:effectExtent l="0" t="0" r="0" b="0"/>
          <wp:docPr id="1" name="Immagine 1" descr="D:\dati\profili\IV50198\UserTemp\OutlookTemp\ivass-marchio rid-2016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i\profili\IV50198\UserTemp\OutlookTemp\ivass-marchio rid-2016-bl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7E48" w14:textId="77777777" w:rsidR="00DD0654" w:rsidRDefault="00DD06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65pt" o:bullet="t">
        <v:imagedata r:id="rId1" o:title="clip_image001"/>
      </v:shape>
    </w:pict>
  </w:numPicBullet>
  <w:abstractNum w:abstractNumId="0" w15:restartNumberingAfterBreak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263CF"/>
    <w:multiLevelType w:val="multilevel"/>
    <w:tmpl w:val="3AF078A6"/>
    <w:numStyleLink w:val="Decision"/>
  </w:abstractNum>
  <w:abstractNum w:abstractNumId="15" w15:restartNumberingAfterBreak="0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24"/>
  </w:num>
  <w:num w:numId="16">
    <w:abstractNumId w:val="1"/>
  </w:num>
  <w:num w:numId="17">
    <w:abstractNumId w:val="33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29"/>
  </w:num>
  <w:num w:numId="23">
    <w:abstractNumId w:val="17"/>
  </w:num>
  <w:num w:numId="24">
    <w:abstractNumId w:val="2"/>
  </w:num>
  <w:num w:numId="25">
    <w:abstractNumId w:val="32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8"/>
  </w:num>
  <w:num w:numId="31">
    <w:abstractNumId w:val="26"/>
  </w:num>
  <w:num w:numId="32">
    <w:abstractNumId w:val="16"/>
  </w:num>
  <w:num w:numId="33">
    <w:abstractNumId w:val="20"/>
  </w:num>
  <w:num w:numId="34">
    <w:abstractNumId w:val="3"/>
  </w:num>
  <w:num w:numId="35">
    <w:abstractNumId w:val="34"/>
  </w:num>
  <w:num w:numId="36">
    <w:abstractNumId w:val="18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9"/>
    <w:rsid w:val="000014BC"/>
    <w:rsid w:val="000102E7"/>
    <w:rsid w:val="000109CD"/>
    <w:rsid w:val="00015293"/>
    <w:rsid w:val="00020EEB"/>
    <w:rsid w:val="00033CCC"/>
    <w:rsid w:val="000346C1"/>
    <w:rsid w:val="000363B3"/>
    <w:rsid w:val="00036C1B"/>
    <w:rsid w:val="00040F83"/>
    <w:rsid w:val="00041536"/>
    <w:rsid w:val="0005214C"/>
    <w:rsid w:val="00052570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C6703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C91"/>
    <w:rsid w:val="000F0F5C"/>
    <w:rsid w:val="000F2C55"/>
    <w:rsid w:val="000F3710"/>
    <w:rsid w:val="00104156"/>
    <w:rsid w:val="0011138C"/>
    <w:rsid w:val="001222B9"/>
    <w:rsid w:val="00122817"/>
    <w:rsid w:val="0012453F"/>
    <w:rsid w:val="0013011B"/>
    <w:rsid w:val="00130BB8"/>
    <w:rsid w:val="00132FB8"/>
    <w:rsid w:val="00133481"/>
    <w:rsid w:val="00137079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687E"/>
    <w:rsid w:val="001B01B0"/>
    <w:rsid w:val="001B268D"/>
    <w:rsid w:val="001C06CC"/>
    <w:rsid w:val="001C4B88"/>
    <w:rsid w:val="001D1456"/>
    <w:rsid w:val="001D155B"/>
    <w:rsid w:val="001D433C"/>
    <w:rsid w:val="001D5489"/>
    <w:rsid w:val="001D650E"/>
    <w:rsid w:val="001E1632"/>
    <w:rsid w:val="001E3114"/>
    <w:rsid w:val="001E556F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0E28"/>
    <w:rsid w:val="0022366B"/>
    <w:rsid w:val="00226071"/>
    <w:rsid w:val="00226A74"/>
    <w:rsid w:val="00226FC2"/>
    <w:rsid w:val="00230110"/>
    <w:rsid w:val="00234A04"/>
    <w:rsid w:val="0023690E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29D7"/>
    <w:rsid w:val="002532D9"/>
    <w:rsid w:val="00255476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33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479A"/>
    <w:rsid w:val="002C54E6"/>
    <w:rsid w:val="002C7068"/>
    <w:rsid w:val="002D076A"/>
    <w:rsid w:val="002D520F"/>
    <w:rsid w:val="002D61BC"/>
    <w:rsid w:val="002E66BF"/>
    <w:rsid w:val="002F374F"/>
    <w:rsid w:val="002F40AF"/>
    <w:rsid w:val="002F7041"/>
    <w:rsid w:val="002F7629"/>
    <w:rsid w:val="003023D2"/>
    <w:rsid w:val="00302D8E"/>
    <w:rsid w:val="0030434D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42456"/>
    <w:rsid w:val="003444E0"/>
    <w:rsid w:val="00345EA1"/>
    <w:rsid w:val="00347CFD"/>
    <w:rsid w:val="003503FB"/>
    <w:rsid w:val="00351538"/>
    <w:rsid w:val="0035230A"/>
    <w:rsid w:val="00352BC2"/>
    <w:rsid w:val="003663D2"/>
    <w:rsid w:val="003722FF"/>
    <w:rsid w:val="0037283C"/>
    <w:rsid w:val="00381839"/>
    <w:rsid w:val="003819B3"/>
    <w:rsid w:val="00382664"/>
    <w:rsid w:val="00383BAB"/>
    <w:rsid w:val="00384779"/>
    <w:rsid w:val="0039435D"/>
    <w:rsid w:val="0039488F"/>
    <w:rsid w:val="00394DCA"/>
    <w:rsid w:val="00395008"/>
    <w:rsid w:val="00395C3A"/>
    <w:rsid w:val="003A10ED"/>
    <w:rsid w:val="003A34AF"/>
    <w:rsid w:val="003B39D0"/>
    <w:rsid w:val="003B6B18"/>
    <w:rsid w:val="003C2F63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40017D"/>
    <w:rsid w:val="004046B8"/>
    <w:rsid w:val="00404C50"/>
    <w:rsid w:val="004108F2"/>
    <w:rsid w:val="0041199E"/>
    <w:rsid w:val="00412592"/>
    <w:rsid w:val="00413375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B39"/>
    <w:rsid w:val="004546B5"/>
    <w:rsid w:val="0046164A"/>
    <w:rsid w:val="00462425"/>
    <w:rsid w:val="004644CC"/>
    <w:rsid w:val="004647A0"/>
    <w:rsid w:val="00475543"/>
    <w:rsid w:val="00475A4A"/>
    <w:rsid w:val="00476D02"/>
    <w:rsid w:val="00480194"/>
    <w:rsid w:val="00487ECC"/>
    <w:rsid w:val="004932F0"/>
    <w:rsid w:val="004939DC"/>
    <w:rsid w:val="00493C19"/>
    <w:rsid w:val="00495ACD"/>
    <w:rsid w:val="004A1D2F"/>
    <w:rsid w:val="004A4F23"/>
    <w:rsid w:val="004B2332"/>
    <w:rsid w:val="004B7469"/>
    <w:rsid w:val="004C7A2E"/>
    <w:rsid w:val="004D060E"/>
    <w:rsid w:val="004D60AB"/>
    <w:rsid w:val="004E1753"/>
    <w:rsid w:val="004E317A"/>
    <w:rsid w:val="004E67DF"/>
    <w:rsid w:val="004E6899"/>
    <w:rsid w:val="004E7016"/>
    <w:rsid w:val="004E70B7"/>
    <w:rsid w:val="004F7505"/>
    <w:rsid w:val="004F773B"/>
    <w:rsid w:val="005002D0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5976"/>
    <w:rsid w:val="00566A3E"/>
    <w:rsid w:val="00567445"/>
    <w:rsid w:val="00570075"/>
    <w:rsid w:val="005700E2"/>
    <w:rsid w:val="0057059E"/>
    <w:rsid w:val="005716FF"/>
    <w:rsid w:val="00572597"/>
    <w:rsid w:val="00575D5F"/>
    <w:rsid w:val="0057768F"/>
    <w:rsid w:val="00580C70"/>
    <w:rsid w:val="00581ED1"/>
    <w:rsid w:val="005835C5"/>
    <w:rsid w:val="0058372C"/>
    <w:rsid w:val="00583BC1"/>
    <w:rsid w:val="00584C25"/>
    <w:rsid w:val="00586182"/>
    <w:rsid w:val="00587583"/>
    <w:rsid w:val="00587EEE"/>
    <w:rsid w:val="0059322E"/>
    <w:rsid w:val="00593A77"/>
    <w:rsid w:val="00594F31"/>
    <w:rsid w:val="00595396"/>
    <w:rsid w:val="005976C7"/>
    <w:rsid w:val="005A32C3"/>
    <w:rsid w:val="005A3421"/>
    <w:rsid w:val="005A66ED"/>
    <w:rsid w:val="005A6E4D"/>
    <w:rsid w:val="005B1425"/>
    <w:rsid w:val="005B3D66"/>
    <w:rsid w:val="005B51AB"/>
    <w:rsid w:val="005B5C9F"/>
    <w:rsid w:val="005B78F5"/>
    <w:rsid w:val="005B7AB7"/>
    <w:rsid w:val="005C08D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77DD"/>
    <w:rsid w:val="00600336"/>
    <w:rsid w:val="006030A9"/>
    <w:rsid w:val="00604F93"/>
    <w:rsid w:val="00614349"/>
    <w:rsid w:val="00616E50"/>
    <w:rsid w:val="00617AD8"/>
    <w:rsid w:val="00622547"/>
    <w:rsid w:val="00622E5F"/>
    <w:rsid w:val="00624EE0"/>
    <w:rsid w:val="006351C2"/>
    <w:rsid w:val="006364C5"/>
    <w:rsid w:val="00636536"/>
    <w:rsid w:val="0064086E"/>
    <w:rsid w:val="00642A5C"/>
    <w:rsid w:val="00644261"/>
    <w:rsid w:val="0064733F"/>
    <w:rsid w:val="00647E0C"/>
    <w:rsid w:val="006508B8"/>
    <w:rsid w:val="00651C58"/>
    <w:rsid w:val="00652E92"/>
    <w:rsid w:val="006533D4"/>
    <w:rsid w:val="0066044C"/>
    <w:rsid w:val="00660661"/>
    <w:rsid w:val="00661A54"/>
    <w:rsid w:val="00663027"/>
    <w:rsid w:val="00666A12"/>
    <w:rsid w:val="00672BCA"/>
    <w:rsid w:val="00681A31"/>
    <w:rsid w:val="00682769"/>
    <w:rsid w:val="00683487"/>
    <w:rsid w:val="006852F0"/>
    <w:rsid w:val="00686B20"/>
    <w:rsid w:val="00691909"/>
    <w:rsid w:val="0069556B"/>
    <w:rsid w:val="0069585B"/>
    <w:rsid w:val="00695EA4"/>
    <w:rsid w:val="006A0E2C"/>
    <w:rsid w:val="006A2DD8"/>
    <w:rsid w:val="006A624D"/>
    <w:rsid w:val="006B0A1F"/>
    <w:rsid w:val="006B3849"/>
    <w:rsid w:val="006B6BBC"/>
    <w:rsid w:val="006C142C"/>
    <w:rsid w:val="006C2682"/>
    <w:rsid w:val="006C6E24"/>
    <w:rsid w:val="006C76D2"/>
    <w:rsid w:val="006D29DA"/>
    <w:rsid w:val="006D63DA"/>
    <w:rsid w:val="006D6C65"/>
    <w:rsid w:val="006E4308"/>
    <w:rsid w:val="006E4943"/>
    <w:rsid w:val="006F4E29"/>
    <w:rsid w:val="007023E8"/>
    <w:rsid w:val="00703CDD"/>
    <w:rsid w:val="00704E76"/>
    <w:rsid w:val="00706435"/>
    <w:rsid w:val="00711E8C"/>
    <w:rsid w:val="00711EC8"/>
    <w:rsid w:val="00714DE7"/>
    <w:rsid w:val="00715C1C"/>
    <w:rsid w:val="007176DA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167"/>
    <w:rsid w:val="0075672C"/>
    <w:rsid w:val="00762128"/>
    <w:rsid w:val="00762F49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5097"/>
    <w:rsid w:val="007B31A3"/>
    <w:rsid w:val="007B5400"/>
    <w:rsid w:val="007B59BB"/>
    <w:rsid w:val="007B65A8"/>
    <w:rsid w:val="007D3AB3"/>
    <w:rsid w:val="007E09D7"/>
    <w:rsid w:val="007E3875"/>
    <w:rsid w:val="007E4056"/>
    <w:rsid w:val="007E4319"/>
    <w:rsid w:val="007E4350"/>
    <w:rsid w:val="007E7CE1"/>
    <w:rsid w:val="0080011A"/>
    <w:rsid w:val="00800C20"/>
    <w:rsid w:val="008014F2"/>
    <w:rsid w:val="008038E7"/>
    <w:rsid w:val="0080417A"/>
    <w:rsid w:val="00810EF2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FF1"/>
    <w:rsid w:val="00850476"/>
    <w:rsid w:val="00855C22"/>
    <w:rsid w:val="00855ED4"/>
    <w:rsid w:val="00856175"/>
    <w:rsid w:val="00862D2D"/>
    <w:rsid w:val="0086507E"/>
    <w:rsid w:val="00866222"/>
    <w:rsid w:val="008713AC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7864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075B1"/>
    <w:rsid w:val="00912CE3"/>
    <w:rsid w:val="0092348D"/>
    <w:rsid w:val="00924248"/>
    <w:rsid w:val="009263DD"/>
    <w:rsid w:val="00927412"/>
    <w:rsid w:val="0093088E"/>
    <w:rsid w:val="00936056"/>
    <w:rsid w:val="0094390E"/>
    <w:rsid w:val="00950705"/>
    <w:rsid w:val="009547A0"/>
    <w:rsid w:val="00960BB5"/>
    <w:rsid w:val="00960F82"/>
    <w:rsid w:val="00963BB1"/>
    <w:rsid w:val="00965A66"/>
    <w:rsid w:val="009662CD"/>
    <w:rsid w:val="00967FBF"/>
    <w:rsid w:val="00971C63"/>
    <w:rsid w:val="009736C7"/>
    <w:rsid w:val="00974415"/>
    <w:rsid w:val="00980813"/>
    <w:rsid w:val="00983846"/>
    <w:rsid w:val="0098466A"/>
    <w:rsid w:val="00985BA7"/>
    <w:rsid w:val="0098611B"/>
    <w:rsid w:val="00993BF3"/>
    <w:rsid w:val="00996993"/>
    <w:rsid w:val="00996E44"/>
    <w:rsid w:val="009A4843"/>
    <w:rsid w:val="009A4945"/>
    <w:rsid w:val="009A6CF4"/>
    <w:rsid w:val="009A795D"/>
    <w:rsid w:val="009B0ED1"/>
    <w:rsid w:val="009B5FAA"/>
    <w:rsid w:val="009B6D5F"/>
    <w:rsid w:val="009B7956"/>
    <w:rsid w:val="009C0CDD"/>
    <w:rsid w:val="009C2F5F"/>
    <w:rsid w:val="009C4841"/>
    <w:rsid w:val="009D3B13"/>
    <w:rsid w:val="009D4FD8"/>
    <w:rsid w:val="009D7B41"/>
    <w:rsid w:val="009E0ABE"/>
    <w:rsid w:val="00A01C80"/>
    <w:rsid w:val="00A05819"/>
    <w:rsid w:val="00A12CC8"/>
    <w:rsid w:val="00A20EEE"/>
    <w:rsid w:val="00A224B1"/>
    <w:rsid w:val="00A2687D"/>
    <w:rsid w:val="00A27253"/>
    <w:rsid w:val="00A32E3D"/>
    <w:rsid w:val="00A40CB2"/>
    <w:rsid w:val="00A446E0"/>
    <w:rsid w:val="00A5091C"/>
    <w:rsid w:val="00A5340A"/>
    <w:rsid w:val="00A540C8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0568"/>
    <w:rsid w:val="00A93498"/>
    <w:rsid w:val="00A94384"/>
    <w:rsid w:val="00A95306"/>
    <w:rsid w:val="00A95941"/>
    <w:rsid w:val="00A95D0F"/>
    <w:rsid w:val="00A97AA3"/>
    <w:rsid w:val="00A97E69"/>
    <w:rsid w:val="00AA33E6"/>
    <w:rsid w:val="00AA436F"/>
    <w:rsid w:val="00AA67F2"/>
    <w:rsid w:val="00AB097A"/>
    <w:rsid w:val="00AB1C7F"/>
    <w:rsid w:val="00AB3A5E"/>
    <w:rsid w:val="00AB4E82"/>
    <w:rsid w:val="00AB5E2F"/>
    <w:rsid w:val="00AB6349"/>
    <w:rsid w:val="00AB65F6"/>
    <w:rsid w:val="00AB776F"/>
    <w:rsid w:val="00AC31A9"/>
    <w:rsid w:val="00AC339F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612B"/>
    <w:rsid w:val="00B80B71"/>
    <w:rsid w:val="00B84EE7"/>
    <w:rsid w:val="00B913DB"/>
    <w:rsid w:val="00B920B5"/>
    <w:rsid w:val="00BA1155"/>
    <w:rsid w:val="00BA2F95"/>
    <w:rsid w:val="00BA5738"/>
    <w:rsid w:val="00BB3802"/>
    <w:rsid w:val="00BB38C8"/>
    <w:rsid w:val="00BB5908"/>
    <w:rsid w:val="00BC0CDF"/>
    <w:rsid w:val="00BC1AB6"/>
    <w:rsid w:val="00BC1D22"/>
    <w:rsid w:val="00BD0CAF"/>
    <w:rsid w:val="00BD2014"/>
    <w:rsid w:val="00BD2377"/>
    <w:rsid w:val="00BD27E3"/>
    <w:rsid w:val="00BD4198"/>
    <w:rsid w:val="00BD67E4"/>
    <w:rsid w:val="00BE4B32"/>
    <w:rsid w:val="00BE6CE5"/>
    <w:rsid w:val="00BE780F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25431"/>
    <w:rsid w:val="00C326FB"/>
    <w:rsid w:val="00C40653"/>
    <w:rsid w:val="00C42523"/>
    <w:rsid w:val="00C479ED"/>
    <w:rsid w:val="00C50C82"/>
    <w:rsid w:val="00C51774"/>
    <w:rsid w:val="00C51F17"/>
    <w:rsid w:val="00C5529D"/>
    <w:rsid w:val="00C553B3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A5D82"/>
    <w:rsid w:val="00CB2771"/>
    <w:rsid w:val="00CB6155"/>
    <w:rsid w:val="00CC4D62"/>
    <w:rsid w:val="00CD213E"/>
    <w:rsid w:val="00CD35BB"/>
    <w:rsid w:val="00CD41BA"/>
    <w:rsid w:val="00CD78DD"/>
    <w:rsid w:val="00CE1A51"/>
    <w:rsid w:val="00CE2846"/>
    <w:rsid w:val="00CE5CAF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5063B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9577A"/>
    <w:rsid w:val="00DA233F"/>
    <w:rsid w:val="00DA6BCB"/>
    <w:rsid w:val="00DA7A66"/>
    <w:rsid w:val="00DB3534"/>
    <w:rsid w:val="00DB7916"/>
    <w:rsid w:val="00DC48F6"/>
    <w:rsid w:val="00DC52F1"/>
    <w:rsid w:val="00DC71B1"/>
    <w:rsid w:val="00DD0654"/>
    <w:rsid w:val="00DD1177"/>
    <w:rsid w:val="00DD19A4"/>
    <w:rsid w:val="00DD4E3E"/>
    <w:rsid w:val="00DD549F"/>
    <w:rsid w:val="00DD6162"/>
    <w:rsid w:val="00DE4DB6"/>
    <w:rsid w:val="00DE72CF"/>
    <w:rsid w:val="00DF563C"/>
    <w:rsid w:val="00E111F5"/>
    <w:rsid w:val="00E129A0"/>
    <w:rsid w:val="00E14D61"/>
    <w:rsid w:val="00E15E32"/>
    <w:rsid w:val="00E24033"/>
    <w:rsid w:val="00E321A6"/>
    <w:rsid w:val="00E34F0E"/>
    <w:rsid w:val="00E37DEA"/>
    <w:rsid w:val="00E4132A"/>
    <w:rsid w:val="00E44730"/>
    <w:rsid w:val="00E47F4F"/>
    <w:rsid w:val="00E50930"/>
    <w:rsid w:val="00E56F2B"/>
    <w:rsid w:val="00E57843"/>
    <w:rsid w:val="00E602A6"/>
    <w:rsid w:val="00E60586"/>
    <w:rsid w:val="00E641E6"/>
    <w:rsid w:val="00E65244"/>
    <w:rsid w:val="00E70060"/>
    <w:rsid w:val="00E71088"/>
    <w:rsid w:val="00E735A7"/>
    <w:rsid w:val="00E762A0"/>
    <w:rsid w:val="00E81050"/>
    <w:rsid w:val="00E86C14"/>
    <w:rsid w:val="00E90914"/>
    <w:rsid w:val="00E90E96"/>
    <w:rsid w:val="00E91044"/>
    <w:rsid w:val="00E91AA5"/>
    <w:rsid w:val="00E93151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331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14A7"/>
    <w:rsid w:val="00F25271"/>
    <w:rsid w:val="00F31EDC"/>
    <w:rsid w:val="00F35DCE"/>
    <w:rsid w:val="00F35E21"/>
    <w:rsid w:val="00F368DD"/>
    <w:rsid w:val="00F4066A"/>
    <w:rsid w:val="00F42E99"/>
    <w:rsid w:val="00F43128"/>
    <w:rsid w:val="00F44226"/>
    <w:rsid w:val="00F45EE5"/>
    <w:rsid w:val="00F46A08"/>
    <w:rsid w:val="00F53FA3"/>
    <w:rsid w:val="00F57EEF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D0921"/>
    <w:rsid w:val="00FD0BA1"/>
    <w:rsid w:val="00FD2F4D"/>
    <w:rsid w:val="00FD7AB4"/>
    <w:rsid w:val="00FD7FB6"/>
    <w:rsid w:val="00FD7FC1"/>
    <w:rsid w:val="00FE1E6E"/>
    <w:rsid w:val="00FE36B1"/>
    <w:rsid w:val="00FE707C"/>
    <w:rsid w:val="00FF0E07"/>
    <w:rsid w:val="00FF2E2A"/>
    <w:rsid w:val="00FF3E38"/>
    <w:rsid w:val="00FF4723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3F3478FD"/>
  <w15:docId w15:val="{DBBCC332-EE52-47D7-8D08-76A5918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uiPriority w:val="99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sultation%20Papers%20and%20Issues%20Papers\Consultation_Papers_Tool\Templates\EIOPA_Template%20Comments%20and%20Resolutions%20on%20Consultation%20Paper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944A0A960814BBE0F6FED9A9B0CDB" ma:contentTypeVersion="0" ma:contentTypeDescription="Creare un nuovo documento." ma:contentTypeScope="" ma:versionID="c862b6dc2d8b1d2a269ec8229956b5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90DD-4880-45E1-9B40-6326D1048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ACFE7-BA95-46FC-A2FC-EF79B385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F828E-C731-40EE-A06B-241EED54A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EAE4C-DF40-4505-8CD3-7513D554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EIOPA_Template Comments and Resolutions on Consultation Papers.dot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ABI</vt:lpstr>
    </vt:vector>
  </TitlesOfParts>
  <Company>Ceiops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Scarangella (IVASS)</dc:creator>
  <cp:lastModifiedBy>Luigi Rossi</cp:lastModifiedBy>
  <cp:revision>2</cp:revision>
  <cp:lastPrinted>2017-11-23T10:31:00Z</cp:lastPrinted>
  <dcterms:created xsi:type="dcterms:W3CDTF">2019-01-15T08:39:00Z</dcterms:created>
  <dcterms:modified xsi:type="dcterms:W3CDTF">2019-01-15T08:39:00Z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0x0101003D9944A0A960814BBE0F6FED9A9B0CDB</vt:lpwstr>
  </property>
</Properties>
</file>