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C438" w14:textId="77777777" w:rsidR="00EB7064" w:rsidRPr="008913C9" w:rsidRDefault="00EB7064" w:rsidP="00691909">
      <w:pPr>
        <w:rPr>
          <w:rFonts w:ascii="Verdana" w:hAnsi="Verdana"/>
          <w:sz w:val="20"/>
          <w:szCs w:val="20"/>
          <w:lang w:val="it-IT"/>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418"/>
        <w:gridCol w:w="1701"/>
        <w:gridCol w:w="11670"/>
      </w:tblGrid>
      <w:tr w:rsidR="00691909" w:rsidRPr="00BD5DC6" w14:paraId="6691119B" w14:textId="77777777" w:rsidTr="00D642AD">
        <w:tc>
          <w:tcPr>
            <w:tcW w:w="250" w:type="dxa"/>
            <w:tcBorders>
              <w:right w:val="nil"/>
            </w:tcBorders>
            <w:shd w:val="clear" w:color="auto" w:fill="1F497D"/>
          </w:tcPr>
          <w:p w14:paraId="5C865F00" w14:textId="77777777" w:rsidR="00691909" w:rsidRPr="008913C9" w:rsidRDefault="00691909" w:rsidP="00D642AD">
            <w:pPr>
              <w:spacing w:before="120"/>
              <w:ind w:left="278"/>
              <w:jc w:val="center"/>
              <w:rPr>
                <w:rFonts w:ascii="Verdana" w:hAnsi="Verdana"/>
                <w:b/>
                <w:sz w:val="20"/>
                <w:szCs w:val="20"/>
                <w:lang w:val="it-IT"/>
              </w:rPr>
            </w:pPr>
          </w:p>
        </w:tc>
        <w:tc>
          <w:tcPr>
            <w:tcW w:w="14789" w:type="dxa"/>
            <w:gridSpan w:val="3"/>
            <w:tcBorders>
              <w:left w:val="nil"/>
              <w:right w:val="nil"/>
            </w:tcBorders>
            <w:shd w:val="clear" w:color="auto" w:fill="1F497D"/>
          </w:tcPr>
          <w:p w14:paraId="29F767DB" w14:textId="77777777" w:rsidR="00365204" w:rsidRPr="007C0B02" w:rsidRDefault="00691909" w:rsidP="009501A5">
            <w:pPr>
              <w:spacing w:before="120" w:after="120"/>
              <w:jc w:val="center"/>
              <w:rPr>
                <w:rFonts w:ascii="Verdana" w:hAnsi="Verdana"/>
                <w:b/>
                <w:color w:val="FFFFFF"/>
                <w:sz w:val="20"/>
                <w:szCs w:val="20"/>
                <w:lang w:val="it-IT"/>
              </w:rPr>
            </w:pPr>
            <w:r w:rsidRPr="007730F3">
              <w:rPr>
                <w:rFonts w:ascii="Verdana" w:hAnsi="Verdana"/>
                <w:b/>
                <w:color w:val="FFFFFF"/>
                <w:sz w:val="20"/>
                <w:szCs w:val="20"/>
                <w:lang w:val="it-IT"/>
              </w:rPr>
              <w:t>Documento di consultazione n.</w:t>
            </w:r>
            <w:r w:rsidR="00E37936">
              <w:rPr>
                <w:rFonts w:ascii="Verdana" w:hAnsi="Verdana"/>
                <w:b/>
                <w:color w:val="FFFFFF"/>
                <w:sz w:val="20"/>
                <w:szCs w:val="20"/>
                <w:lang w:val="it-IT"/>
              </w:rPr>
              <w:t xml:space="preserve"> </w:t>
            </w:r>
            <w:r w:rsidR="009501A5">
              <w:rPr>
                <w:rFonts w:ascii="Verdana" w:hAnsi="Verdana"/>
                <w:b/>
                <w:color w:val="FFFFFF"/>
                <w:sz w:val="20"/>
                <w:szCs w:val="20"/>
                <w:lang w:val="it-IT"/>
              </w:rPr>
              <w:t>2</w:t>
            </w:r>
            <w:r w:rsidRPr="007730F3">
              <w:rPr>
                <w:rFonts w:ascii="Verdana" w:hAnsi="Verdana"/>
                <w:b/>
                <w:color w:val="FFFFFF"/>
                <w:sz w:val="20"/>
                <w:szCs w:val="20"/>
                <w:lang w:val="it-IT"/>
              </w:rPr>
              <w:t>/20</w:t>
            </w:r>
            <w:r w:rsidR="00661F67">
              <w:rPr>
                <w:rFonts w:ascii="Verdana" w:hAnsi="Verdana"/>
                <w:b/>
                <w:color w:val="FFFFFF"/>
                <w:sz w:val="20"/>
                <w:szCs w:val="20"/>
                <w:lang w:val="it-IT"/>
              </w:rPr>
              <w:t>21</w:t>
            </w:r>
          </w:p>
          <w:p w14:paraId="135802C5" w14:textId="77777777" w:rsidR="00B808D8" w:rsidRPr="008A19B5" w:rsidRDefault="00B808D8" w:rsidP="008A19B5">
            <w:pPr>
              <w:pStyle w:val="Default"/>
              <w:rPr>
                <w:lang w:val="it-IT"/>
              </w:rPr>
            </w:pPr>
          </w:p>
          <w:p w14:paraId="326EFA9C" w14:textId="77777777" w:rsidR="00691909" w:rsidRPr="009B22E1" w:rsidRDefault="009501A5" w:rsidP="00DE3DD2">
            <w:pPr>
              <w:autoSpaceDE w:val="0"/>
              <w:autoSpaceDN w:val="0"/>
              <w:adjustRightInd w:val="0"/>
              <w:spacing w:after="120"/>
              <w:ind w:right="330"/>
              <w:jc w:val="both"/>
              <w:rPr>
                <w:rFonts w:ascii="Verdana" w:hAnsi="Verdana" w:cs="Arial"/>
                <w:b/>
                <w:bCs/>
                <w:color w:val="FFFFFF" w:themeColor="background1"/>
                <w:sz w:val="18"/>
                <w:szCs w:val="18"/>
                <w:lang w:val="it-IT" w:eastAsia="it-IT"/>
              </w:rPr>
            </w:pPr>
            <w:r w:rsidRPr="009501A5">
              <w:rPr>
                <w:rFonts w:ascii="Verdana" w:hAnsi="Verdana"/>
                <w:b/>
                <w:bCs/>
                <w:color w:val="FFFFFF" w:themeColor="background1"/>
                <w:sz w:val="22"/>
                <w:szCs w:val="22"/>
                <w:lang w:val="it-IT"/>
              </w:rPr>
              <w:t>SCHEMA DI REGOLAMENTO IVASS RECANTE DISPOSIZIONI IN MATERIA DI MAGGIORAZIONE DEL CAPITALE DI CUI AL TITOLO III, ARTICOLO 47-</w:t>
            </w:r>
            <w:r w:rsidRPr="009501A5">
              <w:rPr>
                <w:rFonts w:ascii="Verdana" w:hAnsi="Verdana"/>
                <w:b/>
                <w:bCs/>
                <w:i/>
                <w:color w:val="FFFFFF" w:themeColor="background1"/>
                <w:sz w:val="22"/>
                <w:szCs w:val="22"/>
                <w:lang w:val="it-IT"/>
              </w:rPr>
              <w:t>SEXIES</w:t>
            </w:r>
            <w:r w:rsidRPr="009501A5">
              <w:rPr>
                <w:rFonts w:ascii="Verdana" w:hAnsi="Verdana"/>
                <w:b/>
                <w:bCs/>
                <w:color w:val="FFFFFF" w:themeColor="background1"/>
                <w:sz w:val="22"/>
                <w:szCs w:val="22"/>
                <w:lang w:val="it-IT"/>
              </w:rPr>
              <w:t xml:space="preserve"> E AL TITOLO XV, ARTICOLO 216-</w:t>
            </w:r>
            <w:r w:rsidRPr="009501A5">
              <w:rPr>
                <w:rFonts w:ascii="Verdana" w:hAnsi="Verdana"/>
                <w:b/>
                <w:bCs/>
                <w:i/>
                <w:color w:val="FFFFFF" w:themeColor="background1"/>
                <w:sz w:val="22"/>
                <w:szCs w:val="22"/>
                <w:lang w:val="it-IT"/>
              </w:rPr>
              <w:t>SEPTIES</w:t>
            </w:r>
            <w:r w:rsidRPr="009501A5">
              <w:rPr>
                <w:rFonts w:ascii="Verdana" w:hAnsi="Verdana"/>
                <w:b/>
                <w:bCs/>
                <w:color w:val="FFFFFF" w:themeColor="background1"/>
                <w:sz w:val="22"/>
                <w:szCs w:val="22"/>
                <w:lang w:val="it-IT"/>
              </w:rPr>
              <w:t xml:space="preserve"> DEL DECRETO LEGISLATIVO 7 SETTEMBRE 2005, N. 209 - CODICE DELLE ASSICURAZIONI PRIVATE.</w:t>
            </w:r>
          </w:p>
        </w:tc>
      </w:tr>
      <w:tr w:rsidR="00691909" w:rsidRPr="00BD5DC6" w14:paraId="1FBC9B6A" w14:textId="77777777" w:rsidTr="009501A5">
        <w:trPr>
          <w:trHeight w:val="2306"/>
        </w:trPr>
        <w:tc>
          <w:tcPr>
            <w:tcW w:w="15039" w:type="dxa"/>
            <w:gridSpan w:val="4"/>
            <w:tcBorders>
              <w:bottom w:val="single" w:sz="4" w:space="0" w:color="auto"/>
            </w:tcBorders>
            <w:shd w:val="clear" w:color="auto" w:fill="auto"/>
          </w:tcPr>
          <w:p w14:paraId="665D4677" w14:textId="77777777" w:rsidR="00691909" w:rsidRPr="007E7CE1" w:rsidRDefault="00691909" w:rsidP="00D642AD">
            <w:pPr>
              <w:spacing w:before="120"/>
              <w:rPr>
                <w:rFonts w:ascii="Verdana" w:hAnsi="Verdana"/>
                <w:b/>
                <w:bCs/>
                <w:color w:val="000000"/>
                <w:sz w:val="20"/>
                <w:szCs w:val="20"/>
                <w:u w:val="single"/>
                <w:lang w:val="it-IT"/>
              </w:rPr>
            </w:pPr>
            <w:r w:rsidRPr="007E7CE1">
              <w:rPr>
                <w:rFonts w:ascii="Verdana" w:hAnsi="Verdana"/>
                <w:b/>
                <w:bCs/>
                <w:color w:val="000000"/>
                <w:sz w:val="20"/>
                <w:szCs w:val="20"/>
                <w:u w:val="single"/>
                <w:lang w:val="it-IT"/>
              </w:rPr>
              <w:t>Legenda</w:t>
            </w:r>
          </w:p>
          <w:p w14:paraId="2365374C" w14:textId="77777777" w:rsidR="00691909" w:rsidRDefault="00691909" w:rsidP="00D642AD">
            <w:pPr>
              <w:spacing w:before="120"/>
              <w:rPr>
                <w:rFonts w:ascii="Verdana" w:hAnsi="Verdana"/>
                <w:b/>
                <w:bCs/>
                <w:color w:val="000000"/>
                <w:sz w:val="20"/>
                <w:szCs w:val="20"/>
                <w:lang w:val="it-IT"/>
              </w:rPr>
            </w:pPr>
            <w:r w:rsidRPr="00D83E91">
              <w:rPr>
                <w:rFonts w:ascii="Verdana" w:hAnsi="Verdana"/>
                <w:b/>
                <w:bCs/>
                <w:color w:val="000000"/>
                <w:sz w:val="20"/>
                <w:szCs w:val="20"/>
                <w:lang w:val="it-IT"/>
              </w:rPr>
              <w:t xml:space="preserve">Nella </w:t>
            </w:r>
            <w:r>
              <w:rPr>
                <w:rFonts w:ascii="Verdana" w:hAnsi="Verdana"/>
                <w:b/>
                <w:bCs/>
                <w:color w:val="000000"/>
                <w:sz w:val="20"/>
                <w:szCs w:val="20"/>
                <w:lang w:val="it-IT"/>
              </w:rPr>
              <w:t>riga</w:t>
            </w:r>
            <w:r w:rsidRPr="00D83E91">
              <w:rPr>
                <w:rFonts w:ascii="Verdana" w:hAnsi="Verdana"/>
                <w:b/>
                <w:bCs/>
                <w:color w:val="000000"/>
                <w:sz w:val="20"/>
                <w:szCs w:val="20"/>
                <w:lang w:val="it-IT"/>
              </w:rPr>
              <w:t xml:space="preserve"> “</w:t>
            </w:r>
            <w:r>
              <w:rPr>
                <w:rFonts w:ascii="Verdana" w:hAnsi="Verdana"/>
                <w:b/>
                <w:bCs/>
                <w:color w:val="000000"/>
                <w:sz w:val="20"/>
                <w:szCs w:val="20"/>
                <w:lang w:val="it-IT"/>
              </w:rPr>
              <w:t>Commentatore</w:t>
            </w:r>
            <w:r w:rsidRPr="00D83E91">
              <w:rPr>
                <w:rFonts w:ascii="Verdana" w:hAnsi="Verdana"/>
                <w:b/>
                <w:bCs/>
                <w:color w:val="000000"/>
                <w:sz w:val="20"/>
                <w:szCs w:val="20"/>
                <w:lang w:val="it-IT"/>
              </w:rPr>
              <w:t>” i</w:t>
            </w:r>
            <w:r>
              <w:rPr>
                <w:rFonts w:ascii="Verdana" w:hAnsi="Verdana"/>
                <w:b/>
                <w:bCs/>
                <w:color w:val="000000"/>
                <w:sz w:val="20"/>
                <w:szCs w:val="20"/>
                <w:lang w:val="it-IT"/>
              </w:rPr>
              <w:t xml:space="preserve"> singoli</w:t>
            </w:r>
            <w:r w:rsidRPr="00D83E91">
              <w:rPr>
                <w:rFonts w:ascii="Verdana" w:hAnsi="Verdana"/>
                <w:b/>
                <w:bCs/>
                <w:color w:val="000000"/>
                <w:sz w:val="20"/>
                <w:szCs w:val="20"/>
                <w:lang w:val="it-IT"/>
              </w:rPr>
              <w:t xml:space="preserve"> soggetti dovranno inserire </w:t>
            </w:r>
            <w:r>
              <w:rPr>
                <w:rFonts w:ascii="Verdana" w:hAnsi="Verdana"/>
                <w:b/>
                <w:bCs/>
                <w:color w:val="000000"/>
                <w:sz w:val="20"/>
                <w:szCs w:val="20"/>
                <w:lang w:val="it-IT"/>
              </w:rPr>
              <w:t>la</w:t>
            </w:r>
            <w:r w:rsidRPr="00D83E91">
              <w:rPr>
                <w:rFonts w:ascii="Verdana" w:hAnsi="Verdana"/>
                <w:b/>
                <w:bCs/>
                <w:color w:val="000000"/>
                <w:sz w:val="20"/>
                <w:szCs w:val="20"/>
                <w:lang w:val="it-IT"/>
              </w:rPr>
              <w:t xml:space="preserve"> loro denominazione</w:t>
            </w:r>
            <w:r>
              <w:rPr>
                <w:rFonts w:ascii="Verdana" w:hAnsi="Verdana"/>
                <w:b/>
                <w:bCs/>
                <w:color w:val="000000"/>
                <w:sz w:val="20"/>
                <w:szCs w:val="20"/>
                <w:lang w:val="it-IT"/>
              </w:rPr>
              <w:t xml:space="preserve"> (anche in forma abbreviata).</w:t>
            </w:r>
          </w:p>
          <w:p w14:paraId="7D071FF2" w14:textId="77777777" w:rsidR="00691909" w:rsidRPr="00D83E91" w:rsidRDefault="00691909" w:rsidP="00D642AD">
            <w:pPr>
              <w:spacing w:before="120"/>
              <w:rPr>
                <w:rFonts w:ascii="Verdana" w:hAnsi="Verdana"/>
                <w:b/>
                <w:bCs/>
                <w:color w:val="000000"/>
                <w:sz w:val="20"/>
                <w:szCs w:val="20"/>
                <w:lang w:val="it-IT"/>
              </w:rPr>
            </w:pPr>
            <w:r w:rsidRPr="00D83E91">
              <w:rPr>
                <w:rFonts w:ascii="Verdana" w:hAnsi="Verdana"/>
                <w:b/>
                <w:bCs/>
                <w:color w:val="000000"/>
                <w:sz w:val="20"/>
                <w:szCs w:val="20"/>
                <w:lang w:val="it-IT"/>
              </w:rPr>
              <w:t xml:space="preserve">Nella </w:t>
            </w:r>
            <w:r>
              <w:rPr>
                <w:rFonts w:ascii="Verdana" w:hAnsi="Verdana"/>
                <w:b/>
                <w:bCs/>
                <w:color w:val="000000"/>
                <w:sz w:val="20"/>
                <w:szCs w:val="20"/>
                <w:lang w:val="it-IT"/>
              </w:rPr>
              <w:t>riga</w:t>
            </w:r>
            <w:r w:rsidRPr="00D83E91">
              <w:rPr>
                <w:rFonts w:ascii="Verdana" w:hAnsi="Verdana"/>
                <w:b/>
                <w:bCs/>
                <w:color w:val="000000"/>
                <w:sz w:val="20"/>
                <w:szCs w:val="20"/>
                <w:lang w:val="it-IT"/>
              </w:rPr>
              <w:t xml:space="preserve"> “</w:t>
            </w:r>
            <w:r>
              <w:rPr>
                <w:rFonts w:ascii="Verdana" w:hAnsi="Verdana"/>
                <w:b/>
                <w:bCs/>
                <w:color w:val="000000"/>
                <w:sz w:val="20"/>
                <w:szCs w:val="20"/>
                <w:lang w:val="it-IT"/>
              </w:rPr>
              <w:t>Osservazioni generali</w:t>
            </w:r>
            <w:r w:rsidRPr="00D83E91">
              <w:rPr>
                <w:rFonts w:ascii="Verdana" w:hAnsi="Verdana"/>
                <w:b/>
                <w:bCs/>
                <w:color w:val="000000"/>
                <w:sz w:val="20"/>
                <w:szCs w:val="20"/>
                <w:lang w:val="it-IT"/>
              </w:rPr>
              <w:t>” i</w:t>
            </w:r>
            <w:r>
              <w:rPr>
                <w:rFonts w:ascii="Verdana" w:hAnsi="Verdana"/>
                <w:b/>
                <w:bCs/>
                <w:color w:val="000000"/>
                <w:sz w:val="20"/>
                <w:szCs w:val="20"/>
                <w:lang w:val="it-IT"/>
              </w:rPr>
              <w:t xml:space="preserve"> singoli</w:t>
            </w:r>
            <w:r w:rsidRPr="00D83E91">
              <w:rPr>
                <w:rFonts w:ascii="Verdana" w:hAnsi="Verdana"/>
                <w:b/>
                <w:bCs/>
                <w:color w:val="000000"/>
                <w:sz w:val="20"/>
                <w:szCs w:val="20"/>
                <w:lang w:val="it-IT"/>
              </w:rPr>
              <w:t xml:space="preserve"> soggetti </w:t>
            </w:r>
            <w:r>
              <w:rPr>
                <w:rFonts w:ascii="Verdana" w:hAnsi="Verdana"/>
                <w:b/>
                <w:bCs/>
                <w:color w:val="000000"/>
                <w:sz w:val="20"/>
                <w:szCs w:val="20"/>
                <w:lang w:val="it-IT"/>
              </w:rPr>
              <w:t>potranno</w:t>
            </w:r>
            <w:r w:rsidRPr="00D83E91">
              <w:rPr>
                <w:rFonts w:ascii="Verdana" w:hAnsi="Verdana"/>
                <w:b/>
                <w:bCs/>
                <w:color w:val="000000"/>
                <w:sz w:val="20"/>
                <w:szCs w:val="20"/>
                <w:lang w:val="it-IT"/>
              </w:rPr>
              <w:t xml:space="preserve"> inserire </w:t>
            </w:r>
            <w:r>
              <w:rPr>
                <w:rFonts w:ascii="Verdana" w:hAnsi="Verdana"/>
                <w:b/>
                <w:bCs/>
                <w:color w:val="000000"/>
                <w:sz w:val="20"/>
                <w:szCs w:val="20"/>
                <w:lang w:val="it-IT"/>
              </w:rPr>
              <w:t>commenti di carattere generale.</w:t>
            </w:r>
          </w:p>
          <w:p w14:paraId="15616FBE" w14:textId="77777777" w:rsidR="00691909" w:rsidRPr="00130BB8" w:rsidRDefault="00691909" w:rsidP="004C2A2D">
            <w:pPr>
              <w:spacing w:before="120"/>
              <w:jc w:val="both"/>
              <w:rPr>
                <w:rFonts w:ascii="Verdana" w:hAnsi="Verdana"/>
                <w:bCs/>
                <w:color w:val="000000"/>
                <w:sz w:val="20"/>
                <w:szCs w:val="20"/>
                <w:lang w:val="it-IT"/>
              </w:rPr>
            </w:pPr>
            <w:r w:rsidRPr="00D83E91">
              <w:rPr>
                <w:rFonts w:ascii="Verdana" w:hAnsi="Verdana"/>
                <w:b/>
                <w:bCs/>
                <w:color w:val="000000"/>
                <w:sz w:val="20"/>
                <w:szCs w:val="20"/>
                <w:lang w:val="it-IT"/>
              </w:rPr>
              <w:t>Nell</w:t>
            </w:r>
            <w:r>
              <w:rPr>
                <w:rFonts w:ascii="Verdana" w:hAnsi="Verdana"/>
                <w:b/>
                <w:bCs/>
                <w:color w:val="000000"/>
                <w:sz w:val="20"/>
                <w:szCs w:val="20"/>
                <w:lang w:val="it-IT"/>
              </w:rPr>
              <w:t>e</w:t>
            </w:r>
            <w:r w:rsidRPr="00D83E91">
              <w:rPr>
                <w:rFonts w:ascii="Verdana" w:hAnsi="Verdana"/>
                <w:b/>
                <w:bCs/>
                <w:color w:val="000000"/>
                <w:sz w:val="20"/>
                <w:szCs w:val="20"/>
                <w:lang w:val="it-IT"/>
              </w:rPr>
              <w:t xml:space="preserve"> colonn</w:t>
            </w:r>
            <w:r>
              <w:rPr>
                <w:rFonts w:ascii="Verdana" w:hAnsi="Verdana"/>
                <w:b/>
                <w:bCs/>
                <w:color w:val="000000"/>
                <w:sz w:val="20"/>
                <w:szCs w:val="20"/>
                <w:lang w:val="it-IT"/>
              </w:rPr>
              <w:t>e</w:t>
            </w:r>
            <w:r w:rsidRPr="00D83E91">
              <w:rPr>
                <w:rFonts w:ascii="Verdana" w:hAnsi="Verdana"/>
                <w:b/>
                <w:bCs/>
                <w:color w:val="000000"/>
                <w:sz w:val="20"/>
                <w:szCs w:val="20"/>
                <w:lang w:val="it-IT"/>
              </w:rPr>
              <w:t xml:space="preserve"> “</w:t>
            </w:r>
            <w:r>
              <w:rPr>
                <w:rFonts w:ascii="Verdana" w:hAnsi="Verdana"/>
                <w:b/>
                <w:bCs/>
                <w:color w:val="000000"/>
                <w:sz w:val="20"/>
                <w:szCs w:val="20"/>
                <w:lang w:val="it-IT"/>
              </w:rPr>
              <w:t>Articolo</w:t>
            </w:r>
            <w:r w:rsidRPr="00D83E91">
              <w:rPr>
                <w:rFonts w:ascii="Verdana" w:hAnsi="Verdana"/>
                <w:b/>
                <w:bCs/>
                <w:color w:val="000000"/>
                <w:sz w:val="20"/>
                <w:szCs w:val="20"/>
                <w:lang w:val="it-IT"/>
              </w:rPr>
              <w:t>”</w:t>
            </w:r>
            <w:r>
              <w:rPr>
                <w:rFonts w:ascii="Verdana" w:hAnsi="Verdana"/>
                <w:b/>
                <w:bCs/>
                <w:color w:val="000000"/>
                <w:sz w:val="20"/>
                <w:szCs w:val="20"/>
                <w:lang w:val="it-IT"/>
              </w:rPr>
              <w:t xml:space="preserve"> e</w:t>
            </w:r>
            <w:r w:rsidR="00A40EA5">
              <w:rPr>
                <w:rFonts w:ascii="Verdana" w:hAnsi="Verdana"/>
                <w:b/>
                <w:bCs/>
                <w:color w:val="000000"/>
                <w:sz w:val="20"/>
                <w:szCs w:val="20"/>
                <w:lang w:val="it-IT"/>
              </w:rPr>
              <w:t xml:space="preserve"> </w:t>
            </w:r>
            <w:r>
              <w:rPr>
                <w:rFonts w:ascii="Verdana" w:hAnsi="Verdana"/>
                <w:b/>
                <w:bCs/>
                <w:color w:val="000000"/>
                <w:sz w:val="20"/>
                <w:szCs w:val="20"/>
                <w:lang w:val="it-IT"/>
              </w:rPr>
              <w:t>“Comma” andranno inseriti,</w:t>
            </w:r>
            <w:r w:rsidRPr="00D83E91">
              <w:rPr>
                <w:rFonts w:ascii="Verdana" w:hAnsi="Verdana"/>
                <w:b/>
                <w:bCs/>
                <w:color w:val="000000"/>
                <w:sz w:val="20"/>
                <w:szCs w:val="20"/>
                <w:lang w:val="it-IT"/>
              </w:rPr>
              <w:t xml:space="preserve"> </w:t>
            </w:r>
            <w:r>
              <w:rPr>
                <w:rFonts w:ascii="Verdana" w:hAnsi="Verdana"/>
                <w:b/>
                <w:bCs/>
                <w:color w:val="000000"/>
                <w:sz w:val="20"/>
                <w:szCs w:val="20"/>
                <w:lang w:val="it-IT"/>
              </w:rPr>
              <w:t xml:space="preserve">rispettivamente, </w:t>
            </w:r>
            <w:r w:rsidRPr="00D83E91">
              <w:rPr>
                <w:rFonts w:ascii="Verdana" w:hAnsi="Verdana"/>
                <w:b/>
                <w:bCs/>
                <w:color w:val="000000"/>
                <w:sz w:val="20"/>
                <w:szCs w:val="20"/>
                <w:lang w:val="it-IT"/>
              </w:rPr>
              <w:t xml:space="preserve">l’articolo e il comma </w:t>
            </w:r>
            <w:r>
              <w:rPr>
                <w:rFonts w:ascii="Verdana" w:hAnsi="Verdana"/>
                <w:b/>
                <w:bCs/>
                <w:color w:val="000000"/>
                <w:sz w:val="20"/>
                <w:szCs w:val="20"/>
                <w:lang w:val="it-IT"/>
              </w:rPr>
              <w:t>cui si riferisce l’osservazione e la</w:t>
            </w:r>
            <w:r w:rsidRPr="00D83E91">
              <w:rPr>
                <w:rFonts w:ascii="Verdana" w:hAnsi="Verdana"/>
                <w:b/>
                <w:bCs/>
                <w:color w:val="000000"/>
                <w:sz w:val="20"/>
                <w:szCs w:val="20"/>
                <w:lang w:val="it-IT"/>
              </w:rPr>
              <w:t xml:space="preserve"> proposta di modifica</w:t>
            </w:r>
            <w:r>
              <w:rPr>
                <w:rFonts w:ascii="Verdana" w:hAnsi="Verdana"/>
                <w:b/>
                <w:bCs/>
                <w:color w:val="000000"/>
                <w:sz w:val="20"/>
                <w:szCs w:val="20"/>
                <w:lang w:val="it-IT"/>
              </w:rPr>
              <w:t>.</w:t>
            </w:r>
          </w:p>
          <w:p w14:paraId="560883FE" w14:textId="77777777" w:rsidR="00691909" w:rsidRPr="00C91C9B" w:rsidRDefault="00691909" w:rsidP="009501A5">
            <w:pPr>
              <w:spacing w:before="120"/>
              <w:rPr>
                <w:rFonts w:ascii="Verdana" w:hAnsi="Verdana"/>
                <w:b/>
                <w:bCs/>
                <w:color w:val="000000"/>
                <w:sz w:val="20"/>
                <w:szCs w:val="20"/>
                <w:lang w:val="it-IT"/>
              </w:rPr>
            </w:pPr>
            <w:r w:rsidRPr="00D83E91">
              <w:rPr>
                <w:rFonts w:ascii="Verdana" w:hAnsi="Verdana"/>
                <w:b/>
                <w:bCs/>
                <w:color w:val="000000"/>
                <w:sz w:val="20"/>
                <w:szCs w:val="20"/>
                <w:lang w:val="it-IT"/>
              </w:rPr>
              <w:t>Nella colonna “</w:t>
            </w:r>
            <w:r w:rsidRPr="00487ECC">
              <w:rPr>
                <w:rFonts w:ascii="Verdana" w:hAnsi="Verdana"/>
                <w:b/>
                <w:bCs/>
                <w:color w:val="000000"/>
                <w:sz w:val="20"/>
                <w:szCs w:val="20"/>
                <w:lang w:val="it-IT"/>
              </w:rPr>
              <w:t>Osservazioni e propost</w:t>
            </w:r>
            <w:r>
              <w:rPr>
                <w:rFonts w:ascii="Verdana" w:hAnsi="Verdana"/>
                <w:b/>
                <w:bCs/>
                <w:color w:val="000000"/>
                <w:sz w:val="20"/>
                <w:szCs w:val="20"/>
                <w:lang w:val="it-IT"/>
              </w:rPr>
              <w:t>e</w:t>
            </w:r>
            <w:r w:rsidRPr="00D83E91">
              <w:rPr>
                <w:rFonts w:ascii="Verdana" w:hAnsi="Verdana"/>
                <w:b/>
                <w:bCs/>
                <w:color w:val="000000"/>
                <w:sz w:val="20"/>
                <w:szCs w:val="20"/>
                <w:lang w:val="it-IT"/>
              </w:rPr>
              <w:t>” andranno inserite le</w:t>
            </w:r>
            <w:r>
              <w:rPr>
                <w:rFonts w:ascii="Verdana" w:hAnsi="Verdana"/>
                <w:b/>
                <w:bCs/>
                <w:color w:val="000000"/>
                <w:sz w:val="20"/>
                <w:szCs w:val="20"/>
                <w:lang w:val="it-IT"/>
              </w:rPr>
              <w:t xml:space="preserve"> osservazioni specifiche e le proposte di modifica.</w:t>
            </w:r>
          </w:p>
        </w:tc>
      </w:tr>
      <w:tr w:rsidR="00691909" w:rsidRPr="00B10BCE" w14:paraId="06436057" w14:textId="77777777" w:rsidTr="00D642AD">
        <w:tc>
          <w:tcPr>
            <w:tcW w:w="3369" w:type="dxa"/>
            <w:gridSpan w:val="3"/>
            <w:shd w:val="clear" w:color="auto" w:fill="F2F2F2"/>
            <w:vAlign w:val="center"/>
          </w:tcPr>
          <w:p w14:paraId="21A2F9D1" w14:textId="77777777" w:rsidR="00691909" w:rsidRDefault="00691909" w:rsidP="00D642AD">
            <w:pPr>
              <w:spacing w:before="120"/>
              <w:jc w:val="center"/>
              <w:rPr>
                <w:rFonts w:ascii="Verdana" w:hAnsi="Verdana"/>
                <w:b/>
                <w:bCs/>
                <w:color w:val="000000"/>
                <w:sz w:val="20"/>
                <w:szCs w:val="20"/>
                <w:lang w:val="it-IT"/>
              </w:rPr>
            </w:pPr>
            <w:r>
              <w:rPr>
                <w:rFonts w:ascii="Verdana" w:hAnsi="Verdana"/>
                <w:b/>
                <w:bCs/>
                <w:color w:val="000000"/>
                <w:sz w:val="20"/>
                <w:szCs w:val="20"/>
                <w:lang w:val="it-IT"/>
              </w:rPr>
              <w:t>Commentatore</w:t>
            </w:r>
          </w:p>
        </w:tc>
        <w:tc>
          <w:tcPr>
            <w:tcW w:w="11670" w:type="dxa"/>
            <w:tcBorders>
              <w:bottom w:val="single" w:sz="4" w:space="0" w:color="auto"/>
            </w:tcBorders>
            <w:shd w:val="clear" w:color="auto" w:fill="FFFFFF"/>
          </w:tcPr>
          <w:p w14:paraId="04568545" w14:textId="5776A969" w:rsidR="00691909" w:rsidRPr="00C11E63" w:rsidRDefault="00C11E63" w:rsidP="00C11E63">
            <w:pPr>
              <w:spacing w:before="120"/>
              <w:jc w:val="center"/>
              <w:rPr>
                <w:rFonts w:ascii="Verdana" w:hAnsi="Verdana"/>
                <w:b/>
                <w:color w:val="000000"/>
                <w:sz w:val="20"/>
                <w:szCs w:val="20"/>
                <w:lang w:val="it-IT"/>
              </w:rPr>
            </w:pPr>
            <w:r w:rsidRPr="00C11E63">
              <w:rPr>
                <w:rFonts w:ascii="Verdana" w:hAnsi="Verdana"/>
                <w:b/>
                <w:color w:val="000000"/>
                <w:sz w:val="20"/>
                <w:szCs w:val="20"/>
                <w:lang w:val="it-IT"/>
              </w:rPr>
              <w:t>ORDINE DEGLI ATTUARI</w:t>
            </w:r>
          </w:p>
        </w:tc>
      </w:tr>
      <w:tr w:rsidR="00691909" w:rsidRPr="00A95B37" w14:paraId="5FA7AA4A" w14:textId="77777777" w:rsidTr="009501A5">
        <w:trPr>
          <w:trHeight w:val="3257"/>
        </w:trPr>
        <w:tc>
          <w:tcPr>
            <w:tcW w:w="3369" w:type="dxa"/>
            <w:gridSpan w:val="3"/>
            <w:tcBorders>
              <w:bottom w:val="single" w:sz="4" w:space="0" w:color="auto"/>
            </w:tcBorders>
            <w:shd w:val="clear" w:color="auto" w:fill="F2F2F2"/>
            <w:vAlign w:val="center"/>
          </w:tcPr>
          <w:p w14:paraId="61D3ACE4" w14:textId="77777777" w:rsidR="00691909" w:rsidRDefault="005A32EB" w:rsidP="00D642AD">
            <w:pPr>
              <w:spacing w:before="120"/>
              <w:ind w:left="-392" w:firstLine="392"/>
              <w:jc w:val="center"/>
              <w:rPr>
                <w:rFonts w:ascii="Verdana" w:hAnsi="Verdana"/>
                <w:b/>
                <w:bCs/>
                <w:color w:val="000000"/>
                <w:sz w:val="20"/>
                <w:szCs w:val="20"/>
              </w:rPr>
            </w:pPr>
            <w:r>
              <w:rPr>
                <w:rFonts w:ascii="Verdana" w:hAnsi="Verdana"/>
                <w:b/>
                <w:bCs/>
                <w:color w:val="000000"/>
                <w:sz w:val="20"/>
                <w:szCs w:val="20"/>
                <w:lang w:val="it-IT"/>
              </w:rPr>
              <w:t>Osservazioni generali</w:t>
            </w:r>
          </w:p>
        </w:tc>
        <w:tc>
          <w:tcPr>
            <w:tcW w:w="11670" w:type="dxa"/>
            <w:tcBorders>
              <w:bottom w:val="single" w:sz="4" w:space="0" w:color="auto"/>
            </w:tcBorders>
            <w:shd w:val="clear" w:color="auto" w:fill="FFFFFF"/>
            <w:vAlign w:val="center"/>
          </w:tcPr>
          <w:p w14:paraId="109C8504" w14:textId="19781AA4" w:rsidR="009A302D" w:rsidRPr="005F6C4E" w:rsidRDefault="009A302D" w:rsidP="009A302D">
            <w:pPr>
              <w:spacing w:before="120"/>
              <w:rPr>
                <w:rFonts w:ascii="Verdana" w:hAnsi="Verdana"/>
                <w:bCs/>
                <w:color w:val="000000"/>
                <w:sz w:val="20"/>
                <w:szCs w:val="20"/>
                <w:lang w:val="it-IT"/>
              </w:rPr>
            </w:pPr>
          </w:p>
        </w:tc>
      </w:tr>
      <w:tr w:rsidR="00691909" w:rsidRPr="00A95B37" w14:paraId="3DFC82B3" w14:textId="77777777" w:rsidTr="00D642AD">
        <w:tc>
          <w:tcPr>
            <w:tcW w:w="15039" w:type="dxa"/>
            <w:gridSpan w:val="4"/>
            <w:tcBorders>
              <w:left w:val="single" w:sz="4" w:space="0" w:color="auto"/>
              <w:right w:val="single" w:sz="4" w:space="0" w:color="auto"/>
            </w:tcBorders>
            <w:shd w:val="clear" w:color="auto" w:fill="17365D"/>
          </w:tcPr>
          <w:p w14:paraId="3E3CCFCB" w14:textId="77777777" w:rsidR="00691909" w:rsidRPr="00A95B37" w:rsidRDefault="00691909" w:rsidP="00D642AD">
            <w:pPr>
              <w:spacing w:before="120"/>
              <w:jc w:val="center"/>
              <w:rPr>
                <w:rFonts w:ascii="Verdana" w:hAnsi="Verdana"/>
                <w:b/>
                <w:bCs/>
                <w:color w:val="000000"/>
                <w:sz w:val="20"/>
                <w:szCs w:val="20"/>
                <w:lang w:val="it-IT"/>
              </w:rPr>
            </w:pPr>
          </w:p>
        </w:tc>
      </w:tr>
      <w:tr w:rsidR="00691909" w:rsidRPr="004E18F2" w14:paraId="3C88AE0C" w14:textId="77777777" w:rsidTr="00D642AD">
        <w:tc>
          <w:tcPr>
            <w:tcW w:w="1668" w:type="dxa"/>
            <w:gridSpan w:val="2"/>
            <w:shd w:val="clear" w:color="auto" w:fill="F2F2F2"/>
            <w:vAlign w:val="center"/>
          </w:tcPr>
          <w:p w14:paraId="1B2EF2B5" w14:textId="77777777" w:rsidR="00691909" w:rsidRPr="008933FF" w:rsidRDefault="00691909" w:rsidP="00D642AD">
            <w:pPr>
              <w:spacing w:before="120"/>
              <w:ind w:left="-392" w:firstLine="392"/>
              <w:jc w:val="center"/>
              <w:rPr>
                <w:rFonts w:ascii="Verdana" w:hAnsi="Verdana"/>
                <w:b/>
                <w:bCs/>
                <w:color w:val="000000"/>
                <w:sz w:val="20"/>
                <w:szCs w:val="20"/>
                <w:lang w:val="it-IT"/>
              </w:rPr>
            </w:pPr>
            <w:r>
              <w:rPr>
                <w:rFonts w:ascii="Verdana" w:hAnsi="Verdana"/>
                <w:b/>
                <w:bCs/>
                <w:color w:val="000000"/>
                <w:sz w:val="20"/>
                <w:szCs w:val="20"/>
                <w:lang w:val="it-IT"/>
              </w:rPr>
              <w:t>Articolo</w:t>
            </w:r>
          </w:p>
        </w:tc>
        <w:tc>
          <w:tcPr>
            <w:tcW w:w="1701" w:type="dxa"/>
            <w:shd w:val="clear" w:color="auto" w:fill="F2F2F2"/>
            <w:vAlign w:val="center"/>
          </w:tcPr>
          <w:p w14:paraId="7321CFE2" w14:textId="77777777" w:rsidR="00691909" w:rsidRPr="008933FF" w:rsidRDefault="00691909" w:rsidP="00D642AD">
            <w:pPr>
              <w:spacing w:before="120"/>
              <w:ind w:left="-392" w:firstLine="392"/>
              <w:jc w:val="center"/>
              <w:rPr>
                <w:rFonts w:ascii="Verdana" w:hAnsi="Verdana"/>
                <w:b/>
                <w:bCs/>
                <w:color w:val="000000"/>
                <w:sz w:val="20"/>
                <w:szCs w:val="20"/>
                <w:lang w:val="it-IT"/>
              </w:rPr>
            </w:pPr>
            <w:r w:rsidRPr="008933FF">
              <w:rPr>
                <w:rFonts w:ascii="Verdana" w:hAnsi="Verdana"/>
                <w:b/>
                <w:bCs/>
                <w:color w:val="000000"/>
                <w:sz w:val="20"/>
                <w:szCs w:val="20"/>
                <w:lang w:val="it-IT"/>
              </w:rPr>
              <w:t>Comma</w:t>
            </w:r>
          </w:p>
        </w:tc>
        <w:tc>
          <w:tcPr>
            <w:tcW w:w="11670" w:type="dxa"/>
            <w:shd w:val="clear" w:color="auto" w:fill="F2F2F2"/>
            <w:vAlign w:val="center"/>
          </w:tcPr>
          <w:p w14:paraId="733111E7" w14:textId="77777777" w:rsidR="00691909" w:rsidRPr="008933FF" w:rsidRDefault="00691909" w:rsidP="00D642AD">
            <w:pPr>
              <w:spacing w:before="120"/>
              <w:ind w:left="-392" w:firstLine="392"/>
              <w:jc w:val="center"/>
              <w:rPr>
                <w:rFonts w:ascii="Verdana" w:hAnsi="Verdana"/>
                <w:b/>
                <w:bCs/>
                <w:color w:val="000000"/>
                <w:sz w:val="20"/>
                <w:szCs w:val="20"/>
                <w:lang w:val="it-IT"/>
              </w:rPr>
            </w:pPr>
            <w:r w:rsidRPr="008933FF">
              <w:rPr>
                <w:rFonts w:ascii="Verdana" w:hAnsi="Verdana"/>
                <w:b/>
                <w:bCs/>
                <w:color w:val="000000"/>
                <w:sz w:val="20"/>
                <w:szCs w:val="20"/>
                <w:lang w:val="it-IT"/>
              </w:rPr>
              <w:t>Osservazioni e proposte</w:t>
            </w:r>
          </w:p>
        </w:tc>
      </w:tr>
      <w:tr w:rsidR="00CF68C6" w:rsidRPr="00BD5DC6" w14:paraId="287F0E4A"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5E100F07" w14:textId="77777777" w:rsidR="00CF68C6"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Relazione di Presentazione</w:t>
            </w:r>
          </w:p>
          <w:p w14:paraId="16E03460" w14:textId="291D6FB6" w:rsidR="00CF68C6" w:rsidRPr="005F6C4E"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Paragrafo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61540" w14:textId="64D18ED9" w:rsidR="00CF68C6" w:rsidRPr="005F6C4E"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Capoverso 6</w:t>
            </w:r>
          </w:p>
        </w:tc>
        <w:tc>
          <w:tcPr>
            <w:tcW w:w="11670" w:type="dxa"/>
            <w:tcBorders>
              <w:top w:val="single" w:sz="4" w:space="0" w:color="auto"/>
              <w:left w:val="single" w:sz="4" w:space="0" w:color="auto"/>
              <w:bottom w:val="single" w:sz="4" w:space="0" w:color="auto"/>
              <w:right w:val="single" w:sz="4" w:space="0" w:color="auto"/>
            </w:tcBorders>
          </w:tcPr>
          <w:p w14:paraId="40F2583D" w14:textId="6F5A9172" w:rsidR="00CF68C6" w:rsidRDefault="00CF68C6" w:rsidP="00CF68C6">
            <w:pPr>
              <w:spacing w:before="120"/>
              <w:rPr>
                <w:rFonts w:ascii="Verdana" w:hAnsi="Verdana"/>
                <w:bCs/>
                <w:color w:val="000000"/>
                <w:sz w:val="20"/>
                <w:szCs w:val="20"/>
                <w:lang w:val="it-IT"/>
              </w:rPr>
            </w:pPr>
            <w:r>
              <w:rPr>
                <w:rFonts w:ascii="Verdana" w:hAnsi="Verdana"/>
                <w:bCs/>
                <w:color w:val="000000"/>
                <w:sz w:val="20"/>
                <w:szCs w:val="20"/>
                <w:lang w:val="it-IT"/>
              </w:rPr>
              <w:t>Si suggerisce nell’ambito della Relazione di presentazione di modificare come di seguito riportato il sesto capoverso del paragrafo 1</w:t>
            </w:r>
          </w:p>
          <w:p w14:paraId="45AA11F0" w14:textId="65BC28F2" w:rsidR="00CF68C6" w:rsidRPr="005F6C4E" w:rsidRDefault="00CF68C6" w:rsidP="00CF68C6">
            <w:pPr>
              <w:spacing w:before="120"/>
              <w:rPr>
                <w:rFonts w:ascii="Verdana" w:hAnsi="Verdana"/>
                <w:bCs/>
                <w:color w:val="000000"/>
                <w:sz w:val="20"/>
                <w:szCs w:val="20"/>
                <w:lang w:val="it-IT"/>
              </w:rPr>
            </w:pPr>
            <w:r>
              <w:rPr>
                <w:rFonts w:ascii="Verdana" w:hAnsi="Verdana"/>
                <w:bCs/>
                <w:color w:val="000000"/>
                <w:sz w:val="20"/>
                <w:szCs w:val="20"/>
                <w:lang w:val="it-IT"/>
              </w:rPr>
              <w:t>“</w:t>
            </w:r>
            <w:r w:rsidRPr="00CF68C6">
              <w:rPr>
                <w:rFonts w:ascii="Verdana" w:hAnsi="Verdana"/>
                <w:bCs/>
                <w:color w:val="000000"/>
                <w:sz w:val="20"/>
                <w:szCs w:val="20"/>
                <w:lang w:val="it-IT"/>
              </w:rPr>
              <w:t xml:space="preserve">La disposizione summenzionata è integrata dalle previsioni contenute negli Atti delegati (in particolare il Titolo I, Capo X, articoli da </w:t>
            </w:r>
            <w:r w:rsidRPr="00CF68C6">
              <w:rPr>
                <w:rFonts w:ascii="Verdana" w:hAnsi="Verdana"/>
                <w:bCs/>
                <w:strike/>
                <w:color w:val="FF0000"/>
                <w:sz w:val="20"/>
                <w:szCs w:val="20"/>
                <w:lang w:val="it-IT"/>
              </w:rPr>
              <w:t>267</w:t>
            </w:r>
            <w:r w:rsidRPr="00CF68C6">
              <w:rPr>
                <w:rFonts w:ascii="Verdana" w:hAnsi="Verdana"/>
                <w:bCs/>
                <w:color w:val="FF0000"/>
                <w:sz w:val="20"/>
                <w:szCs w:val="20"/>
                <w:lang w:val="it-IT"/>
              </w:rPr>
              <w:t xml:space="preserve"> 276</w:t>
            </w:r>
            <w:r>
              <w:rPr>
                <w:rFonts w:ascii="Verdana" w:hAnsi="Verdana"/>
                <w:bCs/>
                <w:color w:val="000000"/>
                <w:sz w:val="20"/>
                <w:szCs w:val="20"/>
                <w:lang w:val="it-IT"/>
              </w:rPr>
              <w:t xml:space="preserve"> </w:t>
            </w:r>
            <w:r w:rsidRPr="00CF68C6">
              <w:rPr>
                <w:rFonts w:ascii="Verdana" w:hAnsi="Verdana"/>
                <w:bCs/>
                <w:color w:val="000000"/>
                <w:sz w:val="20"/>
                <w:szCs w:val="20"/>
                <w:lang w:val="it-IT"/>
              </w:rPr>
              <w:t>a 287) e negli ITS.</w:t>
            </w:r>
            <w:r>
              <w:rPr>
                <w:rFonts w:ascii="Verdana" w:hAnsi="Verdana"/>
                <w:bCs/>
                <w:color w:val="000000"/>
                <w:sz w:val="20"/>
                <w:szCs w:val="20"/>
                <w:lang w:val="it-IT"/>
              </w:rPr>
              <w:t>”</w:t>
            </w:r>
          </w:p>
        </w:tc>
      </w:tr>
      <w:tr w:rsidR="00CF68C6" w:rsidRPr="00BD5DC6" w14:paraId="52ED127C" w14:textId="77777777" w:rsidTr="008C7F32">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7E8F2831" w14:textId="77777777" w:rsidR="00CF68C6"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Relazione di Presentazione</w:t>
            </w:r>
          </w:p>
          <w:p w14:paraId="2D53E827" w14:textId="5505C9AC" w:rsidR="00CF68C6" w:rsidRPr="005F6C4E"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Paragrafo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DEDA6" w14:textId="5A16BEA6" w:rsidR="00CF68C6" w:rsidRPr="005F6C4E" w:rsidRDefault="00CF68C6"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Capoverso 8</w:t>
            </w:r>
          </w:p>
        </w:tc>
        <w:tc>
          <w:tcPr>
            <w:tcW w:w="11670" w:type="dxa"/>
            <w:tcBorders>
              <w:top w:val="single" w:sz="4" w:space="0" w:color="auto"/>
              <w:left w:val="single" w:sz="4" w:space="0" w:color="auto"/>
              <w:bottom w:val="single" w:sz="4" w:space="0" w:color="auto"/>
              <w:right w:val="single" w:sz="4" w:space="0" w:color="auto"/>
            </w:tcBorders>
          </w:tcPr>
          <w:p w14:paraId="359CC71D" w14:textId="77777777" w:rsidR="00CF68C6" w:rsidRDefault="00CF68C6" w:rsidP="00CF68C6">
            <w:pPr>
              <w:spacing w:before="120"/>
              <w:rPr>
                <w:rFonts w:ascii="Verdana" w:hAnsi="Verdana"/>
                <w:bCs/>
                <w:color w:val="000000"/>
                <w:sz w:val="20"/>
                <w:szCs w:val="20"/>
                <w:lang w:val="it-IT"/>
              </w:rPr>
            </w:pPr>
            <w:r>
              <w:rPr>
                <w:rFonts w:ascii="Verdana" w:hAnsi="Verdana"/>
                <w:bCs/>
                <w:color w:val="000000"/>
                <w:sz w:val="20"/>
                <w:szCs w:val="20"/>
                <w:lang w:val="it-IT"/>
              </w:rPr>
              <w:t>Si suggerisce nell’ambito della Relazione di presentazione di modificare come di seguito riportato l’ottavo capoverso del paragrafo 1</w:t>
            </w:r>
          </w:p>
          <w:p w14:paraId="5692A5BC" w14:textId="5A8F7116" w:rsidR="00CF68C6" w:rsidRPr="005F6C4E" w:rsidRDefault="00CF68C6" w:rsidP="00CF68C6">
            <w:pPr>
              <w:spacing w:before="120"/>
              <w:rPr>
                <w:rFonts w:ascii="Verdana" w:hAnsi="Verdana"/>
                <w:bCs/>
                <w:color w:val="000000"/>
                <w:sz w:val="20"/>
                <w:szCs w:val="20"/>
                <w:lang w:val="it-IT"/>
              </w:rPr>
            </w:pPr>
            <w:r>
              <w:rPr>
                <w:rFonts w:ascii="Verdana" w:hAnsi="Verdana"/>
                <w:bCs/>
                <w:color w:val="000000"/>
                <w:sz w:val="20"/>
                <w:szCs w:val="20"/>
                <w:lang w:val="it-IT"/>
              </w:rPr>
              <w:t>“</w:t>
            </w:r>
            <w:r w:rsidRPr="009A302D">
              <w:rPr>
                <w:rFonts w:ascii="Verdana" w:hAnsi="Verdana"/>
                <w:bCs/>
                <w:color w:val="000000"/>
                <w:sz w:val="20"/>
                <w:szCs w:val="20"/>
                <w:lang w:val="it-IT"/>
              </w:rPr>
              <w:t>Nell’ambito del quadro normativo europeo sopra delineato si innesta l’articolo 47-sexies del CAP, che nel recepire la previsione di cui all’articolo 37 della direttiva Solvency II, rimette alla disciplina attuativa di competenza dell’Istituto la determinazione delle</w:t>
            </w:r>
            <w:r>
              <w:rPr>
                <w:rFonts w:ascii="Verdana" w:hAnsi="Verdana"/>
                <w:bCs/>
                <w:color w:val="000000"/>
                <w:sz w:val="20"/>
                <w:szCs w:val="20"/>
                <w:lang w:val="it-IT"/>
              </w:rPr>
              <w:t xml:space="preserve"> </w:t>
            </w:r>
            <w:r w:rsidRPr="009A302D">
              <w:rPr>
                <w:rFonts w:ascii="Verdana" w:hAnsi="Verdana"/>
                <w:bCs/>
                <w:color w:val="000000"/>
                <w:sz w:val="20"/>
                <w:szCs w:val="20"/>
                <w:lang w:val="it-IT"/>
              </w:rPr>
              <w:t xml:space="preserve">previsioni applicative per l’adozione delle maggiorazioni di capitale (articolo </w:t>
            </w:r>
            <w:r w:rsidRPr="009A302D">
              <w:rPr>
                <w:rFonts w:ascii="Verdana" w:hAnsi="Verdana"/>
                <w:bCs/>
                <w:strike/>
                <w:color w:val="FF0000"/>
                <w:sz w:val="20"/>
                <w:szCs w:val="20"/>
                <w:lang w:val="it-IT"/>
              </w:rPr>
              <w:t>37</w:t>
            </w:r>
            <w:r w:rsidRPr="009A302D">
              <w:rPr>
                <w:rFonts w:ascii="Verdana" w:hAnsi="Verdana"/>
                <w:bCs/>
                <w:color w:val="FF0000"/>
                <w:sz w:val="20"/>
                <w:szCs w:val="20"/>
                <w:lang w:val="it-IT"/>
              </w:rPr>
              <w:t>47-sexies</w:t>
            </w:r>
            <w:r w:rsidRPr="009A302D">
              <w:rPr>
                <w:rFonts w:ascii="Verdana" w:hAnsi="Verdana"/>
                <w:bCs/>
                <w:color w:val="000000"/>
                <w:sz w:val="20"/>
                <w:szCs w:val="20"/>
                <w:lang w:val="it-IT"/>
              </w:rPr>
              <w:t>, comma 9 del CAP).</w:t>
            </w:r>
            <w:r>
              <w:rPr>
                <w:rFonts w:ascii="Verdana" w:hAnsi="Verdana"/>
                <w:bCs/>
                <w:color w:val="000000"/>
                <w:sz w:val="20"/>
                <w:szCs w:val="20"/>
                <w:lang w:val="it-IT"/>
              </w:rPr>
              <w:t>”</w:t>
            </w:r>
          </w:p>
        </w:tc>
      </w:tr>
      <w:tr w:rsidR="00F048C4" w:rsidRPr="00BD5DC6" w14:paraId="6C061764"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14A5E00F" w14:textId="40BC3D75" w:rsidR="00F048C4" w:rsidRDefault="00F048C4"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916EB9" w14:textId="108E7B29" w:rsidR="00F048C4" w:rsidRDefault="00F048C4"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1</w:t>
            </w:r>
          </w:p>
        </w:tc>
        <w:tc>
          <w:tcPr>
            <w:tcW w:w="11670" w:type="dxa"/>
            <w:tcBorders>
              <w:top w:val="single" w:sz="4" w:space="0" w:color="auto"/>
              <w:left w:val="single" w:sz="4" w:space="0" w:color="auto"/>
              <w:bottom w:val="single" w:sz="4" w:space="0" w:color="auto"/>
              <w:right w:val="single" w:sz="4" w:space="0" w:color="auto"/>
            </w:tcBorders>
          </w:tcPr>
          <w:p w14:paraId="1661E8E1" w14:textId="719369D7" w:rsidR="00F048C4" w:rsidRDefault="00F048C4" w:rsidP="00CF68C6">
            <w:pPr>
              <w:spacing w:before="120"/>
              <w:rPr>
                <w:rFonts w:ascii="Verdana" w:hAnsi="Verdana"/>
                <w:bCs/>
                <w:color w:val="000000"/>
                <w:sz w:val="20"/>
                <w:szCs w:val="20"/>
                <w:lang w:val="it-IT"/>
              </w:rPr>
            </w:pPr>
            <w:r>
              <w:rPr>
                <w:rFonts w:ascii="Verdana" w:hAnsi="Verdana"/>
                <w:bCs/>
                <w:color w:val="000000"/>
                <w:sz w:val="20"/>
                <w:szCs w:val="20"/>
                <w:lang w:val="it-IT"/>
              </w:rPr>
              <w:t>Si suggerisce a Codesta Spettabile Autorità di valutare l’opportunità di intervenire sul testo come di seguito proposto</w:t>
            </w:r>
            <w:r w:rsidR="00885A49">
              <w:rPr>
                <w:rFonts w:ascii="Verdana" w:hAnsi="Verdana"/>
                <w:bCs/>
                <w:color w:val="000000"/>
                <w:sz w:val="20"/>
                <w:szCs w:val="20"/>
                <w:lang w:val="it-IT"/>
              </w:rPr>
              <w:t xml:space="preserve"> al fine di allineare totalmente il testo alle disposizioni degli Atti Delegati</w:t>
            </w:r>
            <w:r>
              <w:rPr>
                <w:rFonts w:ascii="Verdana" w:hAnsi="Verdana"/>
                <w:bCs/>
                <w:color w:val="000000"/>
                <w:sz w:val="20"/>
                <w:szCs w:val="20"/>
                <w:lang w:val="it-IT"/>
              </w:rPr>
              <w:t>:</w:t>
            </w:r>
          </w:p>
          <w:p w14:paraId="51FDF686" w14:textId="77777777" w:rsidR="00F048C4" w:rsidRDefault="00F048C4" w:rsidP="00CF68C6">
            <w:pPr>
              <w:spacing w:before="120"/>
              <w:rPr>
                <w:rFonts w:ascii="Verdana" w:hAnsi="Verdana"/>
                <w:bCs/>
                <w:color w:val="000000"/>
                <w:sz w:val="20"/>
                <w:szCs w:val="20"/>
                <w:lang w:val="it-IT"/>
              </w:rPr>
            </w:pPr>
          </w:p>
          <w:p w14:paraId="78518FC9" w14:textId="6A1E5A2D" w:rsidR="00F048C4" w:rsidRDefault="00F048C4" w:rsidP="00CF68C6">
            <w:pPr>
              <w:spacing w:before="120"/>
              <w:rPr>
                <w:rFonts w:ascii="Verdana" w:hAnsi="Verdana"/>
                <w:bCs/>
                <w:color w:val="000000"/>
                <w:sz w:val="20"/>
                <w:szCs w:val="20"/>
                <w:lang w:val="it-IT"/>
              </w:rPr>
            </w:pPr>
            <w:r>
              <w:rPr>
                <w:rFonts w:ascii="Verdana" w:hAnsi="Verdana"/>
                <w:bCs/>
                <w:color w:val="000000"/>
                <w:sz w:val="20"/>
                <w:szCs w:val="20"/>
                <w:lang w:val="it-IT"/>
              </w:rPr>
              <w:t>“</w:t>
            </w:r>
            <w:r w:rsidRPr="00F048C4">
              <w:rPr>
                <w:rFonts w:ascii="Verdana" w:hAnsi="Verdana"/>
                <w:bCs/>
                <w:color w:val="000000"/>
                <w:sz w:val="20"/>
                <w:szCs w:val="20"/>
                <w:lang w:val="it-IT"/>
              </w:rPr>
              <w:t>L’IVASS, ai fini dell’articolo 47-sexies, comma 1, lettera c) del Codice</w:t>
            </w:r>
            <w:r w:rsidRPr="00F048C4">
              <w:rPr>
                <w:rFonts w:ascii="Verdana" w:hAnsi="Verdana"/>
                <w:bCs/>
                <w:color w:val="FF0000"/>
                <w:sz w:val="20"/>
                <w:szCs w:val="20"/>
                <w:lang w:val="it-IT"/>
              </w:rPr>
              <w:t>, tiene conto di tutti i fattori pertinenti, ivi inclusi quelli previsti dall’articolo 277 degli Atti delegati</w:t>
            </w:r>
            <w:r>
              <w:rPr>
                <w:rFonts w:ascii="Verdana" w:hAnsi="Verdana"/>
                <w:bCs/>
                <w:color w:val="000000"/>
                <w:sz w:val="20"/>
                <w:szCs w:val="20"/>
                <w:lang w:val="it-IT"/>
              </w:rPr>
              <w:t xml:space="preserve"> e </w:t>
            </w:r>
            <w:r w:rsidRPr="00F048C4">
              <w:rPr>
                <w:rFonts w:ascii="Verdana" w:hAnsi="Verdana"/>
                <w:bCs/>
                <w:color w:val="000000"/>
                <w:sz w:val="20"/>
                <w:szCs w:val="20"/>
                <w:lang w:val="it-IT"/>
              </w:rPr>
              <w:t>verifica l’esistenza di una significativa deviazione dagli standard di governance stabiliti dal Titolo III, Capo I, Sez. II, articoli da 30 a 35-ter del Codice e dal Regolamento IVASS n. 38 del 3 luglio 2018 e dalla pertinente normativa secondaria emanata dall’IVASS in materia di sana e prudente gestione dell'impresa.</w:t>
            </w:r>
            <w:r>
              <w:rPr>
                <w:rFonts w:ascii="Verdana" w:hAnsi="Verdana"/>
                <w:bCs/>
                <w:color w:val="000000"/>
                <w:sz w:val="20"/>
                <w:szCs w:val="20"/>
                <w:lang w:val="it-IT"/>
              </w:rPr>
              <w:t>”</w:t>
            </w:r>
          </w:p>
        </w:tc>
      </w:tr>
      <w:tr w:rsidR="00F048C4" w:rsidRPr="00BD5DC6" w14:paraId="1668BF36"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7E1BAE92" w14:textId="4B7C3715" w:rsidR="00F048C4" w:rsidRDefault="00F048C4"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051C31" w14:textId="775A10DE" w:rsidR="00F048C4" w:rsidRDefault="00F048C4"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2</w:t>
            </w:r>
          </w:p>
        </w:tc>
        <w:tc>
          <w:tcPr>
            <w:tcW w:w="11670" w:type="dxa"/>
            <w:tcBorders>
              <w:top w:val="single" w:sz="4" w:space="0" w:color="auto"/>
              <w:left w:val="single" w:sz="4" w:space="0" w:color="auto"/>
              <w:bottom w:val="single" w:sz="4" w:space="0" w:color="auto"/>
              <w:right w:val="single" w:sz="4" w:space="0" w:color="auto"/>
            </w:tcBorders>
          </w:tcPr>
          <w:p w14:paraId="3BB207E3" w14:textId="4678B67C" w:rsidR="00F048C4" w:rsidRDefault="00F048C4" w:rsidP="00F048C4">
            <w:pPr>
              <w:spacing w:before="120"/>
              <w:rPr>
                <w:rFonts w:ascii="Verdana" w:hAnsi="Verdana"/>
                <w:bCs/>
                <w:color w:val="000000"/>
                <w:sz w:val="20"/>
                <w:szCs w:val="20"/>
                <w:lang w:val="it-IT"/>
              </w:rPr>
            </w:pPr>
            <w:r>
              <w:rPr>
                <w:rFonts w:ascii="Verdana" w:hAnsi="Verdana"/>
                <w:bCs/>
                <w:color w:val="000000"/>
                <w:sz w:val="20"/>
                <w:szCs w:val="20"/>
                <w:lang w:val="it-IT"/>
              </w:rPr>
              <w:t>Si suggerisce a Codesta Spettabile Autorità di valutare l’opportunità di intervenire come di seguito proposto</w:t>
            </w:r>
            <w:r w:rsidR="00885A49">
              <w:rPr>
                <w:rFonts w:ascii="Verdana" w:hAnsi="Verdana"/>
                <w:bCs/>
                <w:color w:val="000000"/>
                <w:sz w:val="20"/>
                <w:szCs w:val="20"/>
                <w:lang w:val="it-IT"/>
              </w:rPr>
              <w:t xml:space="preserve"> al fine di allineare totalmente il testo alle disposizioni degli Atti Delegati</w:t>
            </w:r>
            <w:r>
              <w:rPr>
                <w:rFonts w:ascii="Verdana" w:hAnsi="Verdana"/>
                <w:bCs/>
                <w:color w:val="000000"/>
                <w:sz w:val="20"/>
                <w:szCs w:val="20"/>
                <w:lang w:val="it-IT"/>
              </w:rPr>
              <w:t>:</w:t>
            </w:r>
          </w:p>
          <w:p w14:paraId="37E56B54" w14:textId="77777777" w:rsidR="00F048C4" w:rsidRDefault="00F048C4" w:rsidP="00F048C4">
            <w:pPr>
              <w:spacing w:before="120"/>
              <w:rPr>
                <w:rFonts w:ascii="Verdana" w:hAnsi="Verdana"/>
                <w:bCs/>
                <w:color w:val="000000"/>
                <w:sz w:val="20"/>
                <w:szCs w:val="20"/>
                <w:lang w:val="it-IT"/>
              </w:rPr>
            </w:pPr>
          </w:p>
          <w:p w14:paraId="6A172EBC" w14:textId="3F2DEACD" w:rsidR="00F048C4" w:rsidRDefault="00F048C4" w:rsidP="00F048C4">
            <w:pPr>
              <w:spacing w:before="120"/>
              <w:rPr>
                <w:rFonts w:ascii="Verdana" w:hAnsi="Verdana"/>
                <w:bCs/>
                <w:color w:val="000000"/>
                <w:sz w:val="20"/>
                <w:szCs w:val="20"/>
                <w:lang w:val="it-IT"/>
              </w:rPr>
            </w:pPr>
            <w:r>
              <w:rPr>
                <w:rFonts w:ascii="Verdana" w:hAnsi="Verdana"/>
                <w:bCs/>
                <w:color w:val="000000"/>
                <w:sz w:val="20"/>
                <w:szCs w:val="20"/>
                <w:lang w:val="it-IT"/>
              </w:rPr>
              <w:t>“</w:t>
            </w:r>
            <w:r w:rsidRPr="00F048C4">
              <w:rPr>
                <w:rFonts w:ascii="Verdana" w:hAnsi="Verdana"/>
                <w:bCs/>
                <w:color w:val="000000"/>
                <w:sz w:val="20"/>
                <w:szCs w:val="20"/>
                <w:lang w:val="it-IT"/>
              </w:rPr>
              <w:t>Ai fini dell’applicazione della maggiorazione di capitale l’IVASS</w:t>
            </w:r>
            <w:r w:rsidRPr="00F048C4">
              <w:rPr>
                <w:rFonts w:ascii="Verdana" w:hAnsi="Verdana"/>
                <w:bCs/>
                <w:color w:val="FF0000"/>
                <w:sz w:val="20"/>
                <w:szCs w:val="20"/>
                <w:lang w:val="it-IT"/>
              </w:rPr>
              <w:t>, ove appropriato,</w:t>
            </w:r>
            <w:r w:rsidRPr="00F048C4">
              <w:rPr>
                <w:rFonts w:ascii="Verdana" w:hAnsi="Verdana"/>
                <w:bCs/>
                <w:color w:val="000000"/>
                <w:sz w:val="20"/>
                <w:szCs w:val="20"/>
                <w:lang w:val="it-IT"/>
              </w:rPr>
              <w:t xml:space="preserve"> tiene conto delle maggiorazioni di capitale imposte in precedenza per scostamenti comparabili di altre imprese con profili di rischio analoghi, conformemente a quanto disposto dall’articolo 286 degli Atti delegati.</w:t>
            </w:r>
            <w:r>
              <w:rPr>
                <w:rFonts w:ascii="Verdana" w:hAnsi="Verdana"/>
                <w:bCs/>
                <w:color w:val="000000"/>
                <w:sz w:val="20"/>
                <w:szCs w:val="20"/>
                <w:lang w:val="it-IT"/>
              </w:rPr>
              <w:t>”</w:t>
            </w:r>
          </w:p>
        </w:tc>
      </w:tr>
      <w:tr w:rsidR="00CF68C6" w:rsidRPr="00BD5DC6" w14:paraId="5C71F8B2"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6BEAFC2E" w14:textId="27CA4183" w:rsidR="00CF68C6" w:rsidRPr="005F6C4E" w:rsidRDefault="00441BA1"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D96873" w14:textId="15400B18" w:rsidR="00CF68C6" w:rsidRPr="005F6C4E" w:rsidRDefault="00441BA1" w:rsidP="00CF68C6">
            <w:pPr>
              <w:spacing w:before="120"/>
              <w:jc w:val="center"/>
              <w:rPr>
                <w:rFonts w:ascii="Verdana" w:hAnsi="Verdana"/>
                <w:bCs/>
                <w:color w:val="000000"/>
                <w:sz w:val="20"/>
                <w:szCs w:val="20"/>
                <w:lang w:val="it-IT"/>
              </w:rPr>
            </w:pPr>
            <w:r>
              <w:rPr>
                <w:rFonts w:ascii="Verdana" w:hAnsi="Verdana"/>
                <w:bCs/>
                <w:color w:val="000000"/>
                <w:sz w:val="20"/>
                <w:szCs w:val="20"/>
                <w:lang w:val="it-IT"/>
              </w:rPr>
              <w:t>2</w:t>
            </w:r>
          </w:p>
        </w:tc>
        <w:tc>
          <w:tcPr>
            <w:tcW w:w="11670" w:type="dxa"/>
            <w:tcBorders>
              <w:top w:val="single" w:sz="4" w:space="0" w:color="auto"/>
              <w:left w:val="single" w:sz="4" w:space="0" w:color="auto"/>
              <w:bottom w:val="single" w:sz="4" w:space="0" w:color="auto"/>
              <w:right w:val="single" w:sz="4" w:space="0" w:color="auto"/>
            </w:tcBorders>
          </w:tcPr>
          <w:p w14:paraId="0AAE35B7" w14:textId="372AD714" w:rsidR="00CF68C6" w:rsidRDefault="00441BA1" w:rsidP="00CF68C6">
            <w:pPr>
              <w:spacing w:before="120"/>
              <w:rPr>
                <w:rFonts w:ascii="Verdana" w:hAnsi="Verdana"/>
                <w:bCs/>
                <w:color w:val="000000"/>
                <w:sz w:val="20"/>
                <w:szCs w:val="20"/>
                <w:lang w:val="it-IT"/>
              </w:rPr>
            </w:pPr>
            <w:r>
              <w:rPr>
                <w:rFonts w:ascii="Verdana" w:hAnsi="Verdana"/>
                <w:bCs/>
                <w:color w:val="000000"/>
                <w:sz w:val="20"/>
                <w:szCs w:val="20"/>
                <w:lang w:val="it-IT"/>
              </w:rPr>
              <w:t>Si suggerisce a Codesta Spettabile Autorità di valutare la totale coerenza tra il testo del comma oggetto della presente osservazione come declinato nell’ambito del Documento di Consultazione con il testo dell’articolo 278 comma 2 degli Atti Delegati letto alla luce dell’impianto normativo previsto in ambito nazionale con specifico riferimento al trattamento (non richiesta autorizzazione preventiva per l’utilizzo) dell’aggiustamento per la volatilità e nel caso apportare eventuali aggiustamenti.</w:t>
            </w:r>
          </w:p>
          <w:p w14:paraId="349A1C73" w14:textId="547B583D" w:rsidR="00441BA1" w:rsidRPr="00504763" w:rsidRDefault="00441BA1" w:rsidP="00CF68C6">
            <w:pPr>
              <w:spacing w:before="120"/>
              <w:rPr>
                <w:rFonts w:ascii="Verdana" w:hAnsi="Verdana"/>
                <w:bCs/>
                <w:sz w:val="20"/>
                <w:szCs w:val="20"/>
                <w:lang w:val="it-IT"/>
              </w:rPr>
            </w:pPr>
            <w:r>
              <w:rPr>
                <w:rFonts w:ascii="Verdana" w:hAnsi="Verdana"/>
                <w:bCs/>
                <w:color w:val="000000"/>
                <w:sz w:val="20"/>
                <w:szCs w:val="20"/>
                <w:lang w:val="it-IT"/>
              </w:rPr>
              <w:t>Il comma 2 dell’articolo 278 degli Atti Delegati (di seguito riportato) sembrerebbe infatti essere riferito ai soli “…casi in cui gli Stati membri richiedono la previa approvazione di tale aggiustamento…”</w:t>
            </w:r>
            <w:r w:rsidR="00504763">
              <w:rPr>
                <w:rFonts w:ascii="Verdana" w:hAnsi="Verdana"/>
                <w:bCs/>
                <w:color w:val="000000"/>
                <w:sz w:val="20"/>
                <w:szCs w:val="20"/>
                <w:lang w:val="it-IT"/>
              </w:rPr>
              <w:t xml:space="preserve"> </w:t>
            </w:r>
            <w:r w:rsidR="00504763" w:rsidRPr="00504763">
              <w:rPr>
                <w:rFonts w:ascii="Verdana" w:hAnsi="Verdana"/>
                <w:bCs/>
                <w:sz w:val="20"/>
                <w:szCs w:val="20"/>
                <w:lang w:val="it-IT"/>
              </w:rPr>
              <w:t>e dunque, per la casistica italiana, sembrerebbe non poter essere esteso anche all’aggiustamento per la volatilità</w:t>
            </w:r>
            <w:r w:rsidRPr="00504763">
              <w:rPr>
                <w:rFonts w:ascii="Verdana" w:hAnsi="Verdana"/>
                <w:bCs/>
                <w:sz w:val="20"/>
                <w:szCs w:val="20"/>
                <w:lang w:val="it-IT"/>
              </w:rPr>
              <w:t>.</w:t>
            </w:r>
          </w:p>
          <w:p w14:paraId="630D2561" w14:textId="77777777" w:rsidR="00441BA1" w:rsidRDefault="00441BA1" w:rsidP="00CF68C6">
            <w:pPr>
              <w:spacing w:before="120"/>
              <w:rPr>
                <w:rFonts w:ascii="Verdana" w:hAnsi="Verdana"/>
                <w:bCs/>
                <w:color w:val="000000"/>
                <w:sz w:val="20"/>
                <w:szCs w:val="20"/>
                <w:lang w:val="it-IT"/>
              </w:rPr>
            </w:pPr>
          </w:p>
          <w:p w14:paraId="1F88C172" w14:textId="09C914F0" w:rsidR="00441BA1" w:rsidRPr="00441BA1" w:rsidRDefault="00441BA1" w:rsidP="00CF68C6">
            <w:pPr>
              <w:spacing w:before="120"/>
              <w:rPr>
                <w:rFonts w:ascii="Verdana" w:hAnsi="Verdana"/>
                <w:bCs/>
                <w:i/>
                <w:iCs/>
                <w:color w:val="000000"/>
                <w:sz w:val="20"/>
                <w:szCs w:val="20"/>
                <w:lang w:val="it-IT"/>
              </w:rPr>
            </w:pPr>
            <w:r w:rsidRPr="00441BA1">
              <w:rPr>
                <w:rFonts w:ascii="Verdana" w:hAnsi="Verdana"/>
                <w:bCs/>
                <w:i/>
                <w:iCs/>
                <w:color w:val="000000"/>
                <w:sz w:val="20"/>
                <w:szCs w:val="20"/>
                <w:lang w:val="it-IT"/>
              </w:rPr>
              <w:t>“2.In relazione all'aggiustamento di congruità e alle misure transitorie nonché all'aggiustamento per la volatilità, se le autorità di vigilanza, nei casi in cui gli Stati membri richiedono la previa approvazione di tale aggiustamento, hanno permesso a un'impresa di assicurazione o di riassicurazione di utilizzare uno di questi aggiustamenti o di queste misure transitorie, possono imporre una maggiorazione del capitale ai sensi dell'articolo 37, paragrafo 1, lettera d), della direttiva 2009/138/CE soltanto in circostanze in cui lo scostamento dalle ipotesi sottese agli aggiustamenti o alle misure transitorie è di natura temporanea e non giustifica la revoca dell'approvazione da parte delle autorità di vigilanza per l'utilizzo dell'aggiustamento o della misura transitoria.”</w:t>
            </w:r>
          </w:p>
        </w:tc>
      </w:tr>
      <w:tr w:rsidR="00885A49" w:rsidRPr="00BD5DC6" w14:paraId="7B02E374"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1B5EAD0B" w14:textId="2E96ACA5" w:rsidR="00885A49" w:rsidRPr="005F6C4E" w:rsidRDefault="00885A49"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213373" w14:textId="2FAA4BD0" w:rsidR="00885A49" w:rsidRPr="005F6C4E" w:rsidRDefault="00885A49"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1</w:t>
            </w:r>
          </w:p>
        </w:tc>
        <w:tc>
          <w:tcPr>
            <w:tcW w:w="11670" w:type="dxa"/>
            <w:tcBorders>
              <w:top w:val="single" w:sz="4" w:space="0" w:color="auto"/>
              <w:left w:val="single" w:sz="4" w:space="0" w:color="auto"/>
              <w:bottom w:val="single" w:sz="4" w:space="0" w:color="auto"/>
              <w:right w:val="single" w:sz="4" w:space="0" w:color="auto"/>
            </w:tcBorders>
          </w:tcPr>
          <w:p w14:paraId="33CC1258" w14:textId="030DD50E" w:rsidR="00885A49" w:rsidRDefault="00885A49" w:rsidP="00885A49">
            <w:pPr>
              <w:spacing w:before="120"/>
              <w:rPr>
                <w:rFonts w:ascii="Verdana" w:hAnsi="Verdana"/>
                <w:bCs/>
                <w:color w:val="000000"/>
                <w:sz w:val="20"/>
                <w:szCs w:val="20"/>
                <w:lang w:val="it-IT"/>
              </w:rPr>
            </w:pPr>
            <w:r>
              <w:rPr>
                <w:rFonts w:ascii="Verdana" w:hAnsi="Verdana"/>
                <w:bCs/>
                <w:color w:val="000000"/>
                <w:sz w:val="20"/>
                <w:szCs w:val="20"/>
                <w:lang w:val="it-IT"/>
              </w:rPr>
              <w:t xml:space="preserve">Si richiede a Codesta Spettabile Autorità di intervenire come di seguito proposto al fine di allineare totalmente il testo alle disposizioni degli Atti Delegati inserendo un riferimento </w:t>
            </w:r>
            <w:r w:rsidR="001D7071">
              <w:rPr>
                <w:rFonts w:ascii="Verdana" w:hAnsi="Verdana"/>
                <w:bCs/>
                <w:color w:val="000000"/>
                <w:sz w:val="20"/>
                <w:szCs w:val="20"/>
                <w:lang w:val="it-IT"/>
              </w:rPr>
              <w:t xml:space="preserve">esplicito </w:t>
            </w:r>
            <w:r>
              <w:rPr>
                <w:rFonts w:ascii="Verdana" w:hAnsi="Verdana"/>
                <w:bCs/>
                <w:color w:val="000000"/>
                <w:sz w:val="20"/>
                <w:szCs w:val="20"/>
                <w:lang w:val="it-IT"/>
              </w:rPr>
              <w:t xml:space="preserve">alle casistiche previste </w:t>
            </w:r>
            <w:r w:rsidR="001D7071">
              <w:rPr>
                <w:rFonts w:ascii="Verdana" w:hAnsi="Verdana"/>
                <w:bCs/>
                <w:color w:val="000000"/>
                <w:sz w:val="20"/>
                <w:szCs w:val="20"/>
                <w:lang w:val="it-IT"/>
              </w:rPr>
              <w:t xml:space="preserve">dall’articolo 279 degli Atti Delegati </w:t>
            </w:r>
            <w:r w:rsidR="00F659AA">
              <w:rPr>
                <w:rFonts w:ascii="Verdana" w:hAnsi="Verdana"/>
                <w:bCs/>
                <w:color w:val="000000"/>
                <w:sz w:val="20"/>
                <w:szCs w:val="20"/>
                <w:lang w:val="it-IT"/>
              </w:rPr>
              <w:t xml:space="preserve">che sembrerebbero fornire un punto di riferimento quantitativo per la definizione delle casistiche per le quali </w:t>
            </w:r>
            <w:r w:rsidRPr="00885A49">
              <w:rPr>
                <w:rFonts w:ascii="Verdana" w:hAnsi="Verdana"/>
                <w:bCs/>
                <w:i/>
                <w:iCs/>
                <w:color w:val="000000"/>
                <w:sz w:val="20"/>
                <w:szCs w:val="20"/>
                <w:lang w:val="it-IT"/>
              </w:rPr>
              <w:t>il profilo di rischio dell'impresa di assicurazione o di riassicurazione si discosta significativamente dalle ipotesi sottese al requisito patrimoniale di solvibilità nell'accezione di cui all'articolo 37, paragrafo 1, lettere a) e b), della direttiva 2009/138/CE</w:t>
            </w:r>
            <w:r>
              <w:rPr>
                <w:rFonts w:ascii="Verdana" w:hAnsi="Verdana"/>
                <w:bCs/>
                <w:color w:val="000000"/>
                <w:sz w:val="20"/>
                <w:szCs w:val="20"/>
                <w:lang w:val="it-IT"/>
              </w:rPr>
              <w:t xml:space="preserve"> e dunque </w:t>
            </w:r>
            <w:r w:rsidR="00F659AA">
              <w:rPr>
                <w:rFonts w:ascii="Verdana" w:hAnsi="Verdana"/>
                <w:bCs/>
                <w:color w:val="000000"/>
                <w:sz w:val="20"/>
                <w:szCs w:val="20"/>
                <w:lang w:val="it-IT"/>
              </w:rPr>
              <w:t xml:space="preserve">delle casistiche nelle quali </w:t>
            </w:r>
            <w:r>
              <w:rPr>
                <w:rFonts w:ascii="Verdana" w:hAnsi="Verdana"/>
                <w:bCs/>
                <w:color w:val="000000"/>
                <w:sz w:val="20"/>
                <w:szCs w:val="20"/>
                <w:lang w:val="it-IT"/>
              </w:rPr>
              <w:t>ricorrano le condizioni per poter imporre una maggiorazione di capitale ai sensi dell’articolo 47-sexies del Codice</w:t>
            </w:r>
            <w:r w:rsidR="001D7071">
              <w:rPr>
                <w:rFonts w:ascii="Verdana" w:hAnsi="Verdana"/>
                <w:bCs/>
                <w:color w:val="000000"/>
                <w:sz w:val="20"/>
                <w:szCs w:val="20"/>
                <w:lang w:val="it-IT"/>
              </w:rPr>
              <w:t xml:space="preserve">.  </w:t>
            </w:r>
          </w:p>
          <w:p w14:paraId="36E88666" w14:textId="77777777" w:rsidR="00885A49" w:rsidRDefault="00885A49" w:rsidP="00885A49">
            <w:pPr>
              <w:spacing w:before="120"/>
              <w:rPr>
                <w:rFonts w:ascii="Verdana" w:hAnsi="Verdana"/>
                <w:bCs/>
                <w:color w:val="000000"/>
                <w:sz w:val="20"/>
                <w:szCs w:val="20"/>
                <w:lang w:val="it-IT"/>
              </w:rPr>
            </w:pPr>
          </w:p>
          <w:p w14:paraId="06BF7BF4" w14:textId="5D932AEA" w:rsidR="00885A49" w:rsidRPr="005F6C4E" w:rsidRDefault="00885A49" w:rsidP="00885A49">
            <w:pPr>
              <w:spacing w:before="120"/>
              <w:rPr>
                <w:rFonts w:ascii="Verdana" w:hAnsi="Verdana"/>
                <w:bCs/>
                <w:color w:val="000000"/>
                <w:sz w:val="20"/>
                <w:szCs w:val="20"/>
                <w:lang w:val="it-IT"/>
              </w:rPr>
            </w:pPr>
            <w:r>
              <w:rPr>
                <w:rFonts w:ascii="Verdana" w:hAnsi="Verdana"/>
                <w:bCs/>
                <w:color w:val="000000"/>
                <w:sz w:val="20"/>
                <w:szCs w:val="20"/>
                <w:lang w:val="it-IT"/>
              </w:rPr>
              <w:t>“</w:t>
            </w:r>
            <w:r w:rsidRPr="00885A49">
              <w:rPr>
                <w:rFonts w:ascii="Verdana" w:hAnsi="Verdana"/>
                <w:bCs/>
                <w:color w:val="000000"/>
                <w:sz w:val="20"/>
                <w:szCs w:val="20"/>
                <w:lang w:val="it-IT"/>
              </w:rPr>
              <w:t xml:space="preserve">Nel caso di scostamenti </w:t>
            </w:r>
            <w:r w:rsidRPr="00F877F9">
              <w:rPr>
                <w:rFonts w:ascii="Verdana" w:hAnsi="Verdana"/>
                <w:bCs/>
                <w:color w:val="FF0000"/>
                <w:sz w:val="20"/>
                <w:szCs w:val="20"/>
                <w:lang w:val="it-IT"/>
              </w:rPr>
              <w:t xml:space="preserve">rilevati </w:t>
            </w:r>
            <w:r w:rsidR="00F877F9" w:rsidRPr="00F877F9">
              <w:rPr>
                <w:rFonts w:ascii="Verdana" w:hAnsi="Verdana"/>
                <w:bCs/>
                <w:color w:val="FF0000"/>
                <w:sz w:val="20"/>
                <w:szCs w:val="20"/>
                <w:lang w:val="it-IT"/>
              </w:rPr>
              <w:t>che portino a concludere, ai sensi d</w:t>
            </w:r>
            <w:r w:rsidR="00F877F9">
              <w:rPr>
                <w:rFonts w:ascii="Verdana" w:hAnsi="Verdana"/>
                <w:bCs/>
                <w:color w:val="FF0000"/>
                <w:sz w:val="20"/>
                <w:szCs w:val="20"/>
                <w:lang w:val="it-IT"/>
              </w:rPr>
              <w:t>elle condizioni previste</w:t>
            </w:r>
            <w:r w:rsidR="00F877F9" w:rsidRPr="00F877F9">
              <w:rPr>
                <w:rFonts w:ascii="Verdana" w:hAnsi="Verdana"/>
                <w:bCs/>
                <w:color w:val="FF0000"/>
                <w:sz w:val="20"/>
                <w:szCs w:val="20"/>
                <w:lang w:val="it-IT"/>
              </w:rPr>
              <w:t xml:space="preserve"> dall’articolo 279 degli Atti Delegati</w:t>
            </w:r>
            <w:r w:rsidR="00F877F9">
              <w:rPr>
                <w:rFonts w:ascii="Verdana" w:hAnsi="Verdana"/>
                <w:bCs/>
                <w:color w:val="000000"/>
                <w:sz w:val="20"/>
                <w:szCs w:val="20"/>
                <w:lang w:val="it-IT"/>
              </w:rPr>
              <w:t>,</w:t>
            </w:r>
            <w:r w:rsidR="00F877F9" w:rsidRPr="00F877F9">
              <w:rPr>
                <w:rFonts w:ascii="Verdana" w:hAnsi="Verdana"/>
                <w:bCs/>
                <w:color w:val="000000"/>
                <w:sz w:val="20"/>
                <w:szCs w:val="20"/>
                <w:lang w:val="it-IT"/>
              </w:rPr>
              <w:t xml:space="preserve"> </w:t>
            </w:r>
            <w:r w:rsidR="00F877F9">
              <w:rPr>
                <w:rFonts w:ascii="Verdana" w:hAnsi="Verdana"/>
                <w:bCs/>
                <w:color w:val="000000"/>
                <w:sz w:val="20"/>
                <w:szCs w:val="20"/>
                <w:lang w:val="it-IT"/>
              </w:rPr>
              <w:t xml:space="preserve">che </w:t>
            </w:r>
            <w:r w:rsidR="00F877F9" w:rsidRPr="00F877F9">
              <w:rPr>
                <w:rFonts w:ascii="Verdana" w:hAnsi="Verdana"/>
                <w:bCs/>
                <w:color w:val="FF0000"/>
                <w:sz w:val="20"/>
                <w:szCs w:val="20"/>
                <w:lang w:val="it-IT"/>
              </w:rPr>
              <w:t>il profilo di rischio dell'impresa di assicurazione o di riassicurazione si discosta significativamente dalle ipotesi sottese al requisito patrimoniale di solvibilità nell'accezione di cui all</w:t>
            </w:r>
            <w:r w:rsidRPr="00885A49">
              <w:rPr>
                <w:rFonts w:ascii="Verdana" w:hAnsi="Verdana"/>
                <w:bCs/>
                <w:color w:val="000000"/>
                <w:sz w:val="20"/>
                <w:szCs w:val="20"/>
                <w:lang w:val="it-IT"/>
              </w:rPr>
              <w:t>’articolo 47-sexies, comma 1, lettere a) e b) del Codice, l’IVASS</w:t>
            </w:r>
            <w:r w:rsidR="001D7071">
              <w:rPr>
                <w:rFonts w:ascii="Verdana" w:hAnsi="Verdana"/>
                <w:bCs/>
                <w:color w:val="000000"/>
                <w:sz w:val="20"/>
                <w:szCs w:val="20"/>
                <w:lang w:val="it-IT"/>
              </w:rPr>
              <w:t xml:space="preserve">, </w:t>
            </w:r>
            <w:r w:rsidRPr="00885A49">
              <w:rPr>
                <w:rFonts w:ascii="Verdana" w:hAnsi="Verdana"/>
                <w:bCs/>
                <w:color w:val="000000"/>
                <w:sz w:val="20"/>
                <w:szCs w:val="20"/>
                <w:lang w:val="it-IT"/>
              </w:rPr>
              <w:t xml:space="preserve"> calcola la maggiorazione di capitale in modo tale che i requisiti per la calibrazione del requisito patrimoniale di solvibilità siano coerenti con l’articolo 45-ter, commi 3 e </w:t>
            </w:r>
            <w:r w:rsidRPr="00885A49">
              <w:rPr>
                <w:rFonts w:ascii="Verdana" w:hAnsi="Verdana"/>
                <w:bCs/>
                <w:color w:val="000000"/>
                <w:sz w:val="20"/>
                <w:szCs w:val="20"/>
                <w:lang w:val="it-IT"/>
              </w:rPr>
              <w:lastRenderedPageBreak/>
              <w:t xml:space="preserve">4, del Codice. </w:t>
            </w:r>
            <w:r w:rsidR="001D7071">
              <w:rPr>
                <w:rFonts w:ascii="Verdana" w:hAnsi="Verdana"/>
                <w:bCs/>
                <w:color w:val="000000"/>
                <w:sz w:val="20"/>
                <w:szCs w:val="20"/>
                <w:lang w:val="it-IT"/>
              </w:rPr>
              <w:t xml:space="preserve">A tal fine viene calcolata la </w:t>
            </w:r>
            <w:r w:rsidRPr="00885A49">
              <w:rPr>
                <w:rFonts w:ascii="Verdana" w:hAnsi="Verdana"/>
                <w:bCs/>
                <w:color w:val="000000"/>
                <w:sz w:val="20"/>
                <w:szCs w:val="20"/>
                <w:lang w:val="it-IT"/>
              </w:rPr>
              <w:t>differenza tra il requisito patrimoniale di solvibilità modificato per riflettere il profilo di rischio effettivo e il requisito patrimoniale di solvibilità calcolato dall'impresa</w:t>
            </w:r>
            <w:r w:rsidRPr="00F048C4">
              <w:rPr>
                <w:rFonts w:ascii="Verdana" w:hAnsi="Verdana"/>
                <w:bCs/>
                <w:color w:val="000000"/>
                <w:sz w:val="20"/>
                <w:szCs w:val="20"/>
                <w:lang w:val="it-IT"/>
              </w:rPr>
              <w:t>.</w:t>
            </w:r>
            <w:r>
              <w:rPr>
                <w:rFonts w:ascii="Verdana" w:hAnsi="Verdana"/>
                <w:bCs/>
                <w:color w:val="000000"/>
                <w:sz w:val="20"/>
                <w:szCs w:val="20"/>
                <w:lang w:val="it-IT"/>
              </w:rPr>
              <w:t>”</w:t>
            </w:r>
          </w:p>
        </w:tc>
      </w:tr>
      <w:tr w:rsidR="001F6594" w:rsidRPr="00BD5DC6" w14:paraId="51E05D9A"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55FD8680" w14:textId="1C43B9B0" w:rsidR="001F6594" w:rsidRDefault="001F6594"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1DCE3E" w14:textId="6D374CFB" w:rsidR="001F6594" w:rsidRDefault="001F6594"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2</w:t>
            </w:r>
          </w:p>
        </w:tc>
        <w:tc>
          <w:tcPr>
            <w:tcW w:w="11670" w:type="dxa"/>
            <w:tcBorders>
              <w:top w:val="single" w:sz="4" w:space="0" w:color="auto"/>
              <w:left w:val="single" w:sz="4" w:space="0" w:color="auto"/>
              <w:bottom w:val="single" w:sz="4" w:space="0" w:color="auto"/>
              <w:right w:val="single" w:sz="4" w:space="0" w:color="auto"/>
            </w:tcBorders>
          </w:tcPr>
          <w:p w14:paraId="647E0706" w14:textId="54314A2A" w:rsidR="001F6594" w:rsidRDefault="001F6594" w:rsidP="00885A49">
            <w:pPr>
              <w:spacing w:before="120"/>
              <w:rPr>
                <w:rFonts w:ascii="Verdana" w:hAnsi="Verdana"/>
                <w:bCs/>
                <w:color w:val="000000"/>
                <w:sz w:val="20"/>
                <w:szCs w:val="20"/>
                <w:lang w:val="it-IT"/>
              </w:rPr>
            </w:pPr>
            <w:r>
              <w:rPr>
                <w:rFonts w:ascii="Verdana" w:hAnsi="Verdana"/>
                <w:bCs/>
                <w:color w:val="000000"/>
                <w:sz w:val="20"/>
                <w:szCs w:val="20"/>
                <w:lang w:val="it-IT"/>
              </w:rPr>
              <w:t xml:space="preserve">Si suggerisce a Codesta Spettabile Autorità di valutare l’opportunità di definire, in linea con le disposizioni presenti all’articolo 279 degli Atti Delegati per le casistiche di cui all’articolo 47-sexies comma 1 lettere a) e b), una soglia (ad esempio la soglia del 10% del Requisito patrimoniale di Solvibilità citata al comma 1 di tale articolo e utilizzata dall’Autorità anche nel documento di consultazione per determinare la maggiorazione minima in caso non fosse </w:t>
            </w:r>
            <w:r w:rsidRPr="001F6594">
              <w:rPr>
                <w:rFonts w:ascii="Verdana" w:hAnsi="Verdana"/>
                <w:bCs/>
                <w:color w:val="000000"/>
                <w:sz w:val="20"/>
                <w:szCs w:val="20"/>
                <w:lang w:val="it-IT"/>
              </w:rPr>
              <w:t>possibile quantificare la perdita finanziaria attesa a seguito della deviazione dagli standard di governance</w:t>
            </w:r>
            <w:r>
              <w:rPr>
                <w:rFonts w:ascii="Verdana" w:hAnsi="Verdana"/>
                <w:bCs/>
                <w:color w:val="000000"/>
                <w:sz w:val="20"/>
                <w:szCs w:val="20"/>
                <w:lang w:val="it-IT"/>
              </w:rPr>
              <w:t xml:space="preserve">) minima per stabilire se </w:t>
            </w:r>
            <w:r w:rsidRPr="001F6594">
              <w:rPr>
                <w:rFonts w:ascii="Verdana" w:hAnsi="Verdana"/>
                <w:bCs/>
                <w:color w:val="000000"/>
                <w:sz w:val="20"/>
                <w:szCs w:val="20"/>
                <w:lang w:val="it-IT"/>
              </w:rPr>
              <w:t xml:space="preserve">la perdita finanziaria che l'impresa potrebbe subire a seguito della deviazione dagli standard di </w:t>
            </w:r>
            <w:r w:rsidRPr="001F6594">
              <w:rPr>
                <w:rFonts w:ascii="Verdana" w:hAnsi="Verdana"/>
                <w:bCs/>
                <w:i/>
                <w:iCs/>
                <w:color w:val="000000"/>
                <w:sz w:val="20"/>
                <w:szCs w:val="20"/>
                <w:lang w:val="it-IT"/>
              </w:rPr>
              <w:t>governance</w:t>
            </w:r>
            <w:r w:rsidRPr="001F6594">
              <w:rPr>
                <w:rFonts w:ascii="Verdana" w:hAnsi="Verdana"/>
                <w:bCs/>
                <w:color w:val="000000"/>
                <w:sz w:val="20"/>
                <w:szCs w:val="20"/>
                <w:lang w:val="it-IT"/>
              </w:rPr>
              <w:t xml:space="preserve"> di cui all’articolo 7 </w:t>
            </w:r>
            <w:r>
              <w:rPr>
                <w:rFonts w:ascii="Verdana" w:hAnsi="Verdana"/>
                <w:bCs/>
                <w:color w:val="000000"/>
                <w:sz w:val="20"/>
                <w:szCs w:val="20"/>
                <w:lang w:val="it-IT"/>
              </w:rPr>
              <w:t xml:space="preserve">del documento di consultazione </w:t>
            </w:r>
            <w:r w:rsidRPr="001F6594">
              <w:rPr>
                <w:rFonts w:ascii="Verdana" w:hAnsi="Verdana"/>
                <w:bCs/>
                <w:color w:val="000000"/>
                <w:sz w:val="20"/>
                <w:szCs w:val="20"/>
                <w:lang w:val="it-IT"/>
              </w:rPr>
              <w:t>quantificabile in via diretta</w:t>
            </w:r>
            <w:r>
              <w:rPr>
                <w:rFonts w:ascii="Verdana" w:hAnsi="Verdana"/>
                <w:bCs/>
                <w:color w:val="000000"/>
                <w:sz w:val="20"/>
                <w:szCs w:val="20"/>
                <w:lang w:val="it-IT"/>
              </w:rPr>
              <w:t xml:space="preserve"> possa essere considerata indicativa della presenza di un </w:t>
            </w:r>
            <w:r w:rsidRPr="001F6594">
              <w:rPr>
                <w:rFonts w:ascii="Verdana" w:hAnsi="Verdana"/>
                <w:bCs/>
                <w:color w:val="000000"/>
                <w:sz w:val="20"/>
                <w:szCs w:val="20"/>
                <w:lang w:val="it-IT"/>
              </w:rPr>
              <w:t xml:space="preserve">sistema di governo societario dell'impresa </w:t>
            </w:r>
            <w:r>
              <w:rPr>
                <w:rFonts w:ascii="Verdana" w:hAnsi="Verdana"/>
                <w:bCs/>
                <w:color w:val="000000"/>
                <w:sz w:val="20"/>
                <w:szCs w:val="20"/>
                <w:lang w:val="it-IT"/>
              </w:rPr>
              <w:t xml:space="preserve">che, nell’accezione dell’articolo 47-sexies, comma 1 lettera c) del Codice, </w:t>
            </w:r>
            <w:r w:rsidRPr="001F6594">
              <w:rPr>
                <w:rFonts w:ascii="Verdana" w:hAnsi="Verdana"/>
                <w:bCs/>
                <w:color w:val="000000"/>
                <w:sz w:val="20"/>
                <w:szCs w:val="20"/>
                <w:lang w:val="it-IT"/>
              </w:rPr>
              <w:t>differisc</w:t>
            </w:r>
            <w:r>
              <w:rPr>
                <w:rFonts w:ascii="Verdana" w:hAnsi="Verdana"/>
                <w:bCs/>
                <w:color w:val="000000"/>
                <w:sz w:val="20"/>
                <w:szCs w:val="20"/>
                <w:lang w:val="it-IT"/>
              </w:rPr>
              <w:t>a</w:t>
            </w:r>
            <w:r w:rsidRPr="001F6594">
              <w:rPr>
                <w:rFonts w:ascii="Verdana" w:hAnsi="Verdana"/>
                <w:bCs/>
                <w:color w:val="000000"/>
                <w:sz w:val="20"/>
                <w:szCs w:val="20"/>
                <w:lang w:val="it-IT"/>
              </w:rPr>
              <w:t xml:space="preserve"> in modo </w:t>
            </w:r>
            <w:r w:rsidRPr="009A7130">
              <w:rPr>
                <w:rFonts w:ascii="Verdana" w:hAnsi="Verdana"/>
                <w:bCs/>
                <w:color w:val="000000"/>
                <w:sz w:val="20"/>
                <w:szCs w:val="20"/>
                <w:u w:val="single"/>
                <w:lang w:val="it-IT"/>
              </w:rPr>
              <w:t>significativo</w:t>
            </w:r>
            <w:r w:rsidRPr="001F6594">
              <w:rPr>
                <w:rFonts w:ascii="Verdana" w:hAnsi="Verdana"/>
                <w:bCs/>
                <w:color w:val="000000"/>
                <w:sz w:val="20"/>
                <w:szCs w:val="20"/>
                <w:lang w:val="it-IT"/>
              </w:rPr>
              <w:t xml:space="preserve"> dalle disposizioni di cui al Titolo III, Capo I, Sezione II</w:t>
            </w:r>
            <w:r>
              <w:rPr>
                <w:rFonts w:ascii="Verdana" w:hAnsi="Verdana"/>
                <w:bCs/>
                <w:color w:val="000000"/>
                <w:sz w:val="20"/>
                <w:szCs w:val="20"/>
                <w:lang w:val="it-IT"/>
              </w:rPr>
              <w:t xml:space="preserve"> del Codice </w:t>
            </w:r>
            <w:r w:rsidR="009A7130">
              <w:rPr>
                <w:rFonts w:ascii="Verdana" w:hAnsi="Verdana"/>
                <w:bCs/>
                <w:color w:val="000000"/>
                <w:sz w:val="20"/>
                <w:szCs w:val="20"/>
                <w:lang w:val="it-IT"/>
              </w:rPr>
              <w:t>e dunque rappresentare una condizione per l’applicazione della maggiorazione del capitale. Nel caso in cui la perdita quantificabile fosse sotto tale soglia la casistica potrebbe essere considerata alla stessa stregua di quella del comma 4 lettera a) dell’articolo 11 del documento di consultazione e cioè non implicare la necessità di una maggiorazione di capitale non ricorrendo la condizione di “significatività” delle carenze del sistema di governo societario.</w:t>
            </w:r>
          </w:p>
        </w:tc>
      </w:tr>
      <w:tr w:rsidR="00FB6D25" w:rsidRPr="00BD5DC6" w14:paraId="3FCE3E5B"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03E26DF1" w14:textId="7EAC1D17" w:rsidR="00FB6D25" w:rsidRDefault="00FB6D25"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C6D48C" w14:textId="77777777" w:rsidR="00FB6D25" w:rsidRDefault="00FB6D25"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4</w:t>
            </w:r>
          </w:p>
          <w:p w14:paraId="20A0695B" w14:textId="57734D42" w:rsidR="00FB6D25" w:rsidRDefault="00FB6D25"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Lettera b)</w:t>
            </w:r>
          </w:p>
        </w:tc>
        <w:tc>
          <w:tcPr>
            <w:tcW w:w="11670" w:type="dxa"/>
            <w:tcBorders>
              <w:top w:val="single" w:sz="4" w:space="0" w:color="auto"/>
              <w:left w:val="single" w:sz="4" w:space="0" w:color="auto"/>
              <w:bottom w:val="single" w:sz="4" w:space="0" w:color="auto"/>
              <w:right w:val="single" w:sz="4" w:space="0" w:color="auto"/>
            </w:tcBorders>
          </w:tcPr>
          <w:p w14:paraId="44070CED" w14:textId="373FA46B" w:rsidR="00FB6D25" w:rsidRDefault="00FB6D25" w:rsidP="00FB6D25">
            <w:pPr>
              <w:spacing w:before="120"/>
              <w:rPr>
                <w:rFonts w:ascii="Verdana" w:hAnsi="Verdana"/>
                <w:bCs/>
                <w:color w:val="000000"/>
                <w:sz w:val="20"/>
                <w:szCs w:val="20"/>
                <w:lang w:val="it-IT"/>
              </w:rPr>
            </w:pPr>
            <w:r>
              <w:rPr>
                <w:rFonts w:ascii="Verdana" w:hAnsi="Verdana"/>
                <w:bCs/>
                <w:color w:val="000000"/>
                <w:sz w:val="20"/>
                <w:szCs w:val="20"/>
                <w:lang w:val="it-IT"/>
              </w:rPr>
              <w:t>Si suggerisce a Codesta Spettabile Autorità di valutare l’opportunità di intervenire come di seguito proposto al fine di specificare in maniera maggiormente puntuale l’approccio “a livelli” selezionato:</w:t>
            </w:r>
          </w:p>
          <w:p w14:paraId="4FEE241F" w14:textId="4B72A29C" w:rsidR="00FB6D25" w:rsidRDefault="00FB6D25" w:rsidP="00FB6D25">
            <w:pPr>
              <w:spacing w:before="120"/>
              <w:rPr>
                <w:rFonts w:ascii="Verdana" w:hAnsi="Verdana"/>
                <w:bCs/>
                <w:color w:val="000000"/>
                <w:sz w:val="20"/>
                <w:szCs w:val="20"/>
                <w:lang w:val="it-IT"/>
              </w:rPr>
            </w:pPr>
            <w:r>
              <w:rPr>
                <w:rFonts w:ascii="Verdana" w:hAnsi="Verdana"/>
                <w:bCs/>
                <w:color w:val="000000"/>
                <w:sz w:val="20"/>
                <w:szCs w:val="20"/>
                <w:lang w:val="it-IT"/>
              </w:rPr>
              <w:t>“</w:t>
            </w:r>
            <w:r w:rsidRPr="00FB6D25">
              <w:rPr>
                <w:rFonts w:ascii="Verdana" w:hAnsi="Verdana"/>
                <w:bCs/>
                <w:color w:val="000000"/>
                <w:sz w:val="20"/>
                <w:szCs w:val="20"/>
                <w:lang w:val="it-IT"/>
              </w:rPr>
              <w:t>può applicare una maggiorazione di capitale, incrementando il requisito patrimoniale di solvibilità di almeno il 10%</w:t>
            </w:r>
            <w:r>
              <w:rPr>
                <w:rFonts w:ascii="Verdana" w:hAnsi="Verdana"/>
                <w:bCs/>
                <w:color w:val="000000"/>
                <w:sz w:val="20"/>
                <w:szCs w:val="20"/>
                <w:lang w:val="it-IT"/>
              </w:rPr>
              <w:t xml:space="preserve"> </w:t>
            </w:r>
            <w:r w:rsidRPr="00FB6D25">
              <w:rPr>
                <w:rFonts w:ascii="Verdana" w:hAnsi="Verdana"/>
                <w:bCs/>
                <w:color w:val="FF0000"/>
                <w:sz w:val="20"/>
                <w:szCs w:val="20"/>
                <w:lang w:val="it-IT"/>
              </w:rPr>
              <w:t xml:space="preserve">e comunque di una percentuale </w:t>
            </w:r>
            <w:r>
              <w:rPr>
                <w:rFonts w:ascii="Verdana" w:hAnsi="Verdana"/>
                <w:bCs/>
                <w:color w:val="FF0000"/>
                <w:sz w:val="20"/>
                <w:szCs w:val="20"/>
                <w:lang w:val="it-IT"/>
              </w:rPr>
              <w:t xml:space="preserve">inferiore </w:t>
            </w:r>
            <w:r w:rsidRPr="00FB6D25">
              <w:rPr>
                <w:rFonts w:ascii="Verdana" w:hAnsi="Verdana"/>
                <w:bCs/>
                <w:color w:val="FF0000"/>
                <w:sz w:val="20"/>
                <w:szCs w:val="20"/>
                <w:lang w:val="it-IT"/>
              </w:rPr>
              <w:t>al 20%</w:t>
            </w:r>
            <w:r w:rsidRPr="00FB6D25">
              <w:rPr>
                <w:rFonts w:ascii="Verdana" w:hAnsi="Verdana"/>
                <w:bCs/>
                <w:color w:val="000000"/>
                <w:sz w:val="20"/>
                <w:szCs w:val="20"/>
                <w:lang w:val="it-IT"/>
              </w:rPr>
              <w:t>,</w:t>
            </w:r>
            <w:r>
              <w:rPr>
                <w:rFonts w:ascii="Verdana" w:hAnsi="Verdana"/>
                <w:bCs/>
                <w:color w:val="000000"/>
                <w:sz w:val="20"/>
                <w:szCs w:val="20"/>
                <w:lang w:val="it-IT"/>
              </w:rPr>
              <w:t xml:space="preserve">…” </w:t>
            </w:r>
          </w:p>
          <w:p w14:paraId="3E67AB43" w14:textId="77777777" w:rsidR="00FB6D25" w:rsidRDefault="00FB6D25" w:rsidP="00FB6D25">
            <w:pPr>
              <w:spacing w:before="120"/>
              <w:rPr>
                <w:rFonts w:ascii="Verdana" w:hAnsi="Verdana"/>
                <w:bCs/>
                <w:color w:val="000000"/>
                <w:sz w:val="20"/>
                <w:szCs w:val="20"/>
                <w:lang w:val="it-IT"/>
              </w:rPr>
            </w:pPr>
            <w:r>
              <w:rPr>
                <w:rFonts w:ascii="Verdana" w:hAnsi="Verdana"/>
                <w:bCs/>
                <w:color w:val="000000"/>
                <w:sz w:val="20"/>
                <w:szCs w:val="20"/>
                <w:lang w:val="it-IT"/>
              </w:rPr>
              <w:t>o, nel caso di recepimento del suggerimento della proposta di cui al punto successivo</w:t>
            </w:r>
          </w:p>
          <w:p w14:paraId="44F68161" w14:textId="03C4E9CA" w:rsidR="00FB6D25" w:rsidRDefault="00FB6D25" w:rsidP="00FB6D25">
            <w:pPr>
              <w:spacing w:before="120"/>
              <w:rPr>
                <w:rFonts w:ascii="Verdana" w:hAnsi="Verdana"/>
                <w:bCs/>
                <w:color w:val="000000"/>
                <w:sz w:val="20"/>
                <w:szCs w:val="20"/>
                <w:lang w:val="it-IT"/>
              </w:rPr>
            </w:pPr>
            <w:r>
              <w:rPr>
                <w:rFonts w:ascii="Verdana" w:hAnsi="Verdana"/>
                <w:bCs/>
                <w:color w:val="000000"/>
                <w:sz w:val="20"/>
                <w:szCs w:val="20"/>
                <w:lang w:val="it-IT"/>
              </w:rPr>
              <w:t>“</w:t>
            </w:r>
            <w:r w:rsidRPr="00FB6D25">
              <w:rPr>
                <w:rFonts w:ascii="Verdana" w:hAnsi="Verdana"/>
                <w:bCs/>
                <w:color w:val="000000"/>
                <w:sz w:val="20"/>
                <w:szCs w:val="20"/>
                <w:lang w:val="it-IT"/>
              </w:rPr>
              <w:t>può applicare una maggiorazione di capitale, incrementando il requisito patrimoniale di solvibilità di almeno il 10%</w:t>
            </w:r>
            <w:r>
              <w:rPr>
                <w:rFonts w:ascii="Verdana" w:hAnsi="Verdana"/>
                <w:bCs/>
                <w:color w:val="000000"/>
                <w:sz w:val="20"/>
                <w:szCs w:val="20"/>
                <w:lang w:val="it-IT"/>
              </w:rPr>
              <w:t xml:space="preserve"> </w:t>
            </w:r>
            <w:r w:rsidRPr="00FB6D25">
              <w:rPr>
                <w:rFonts w:ascii="Verdana" w:hAnsi="Verdana"/>
                <w:bCs/>
                <w:color w:val="FF0000"/>
                <w:sz w:val="20"/>
                <w:szCs w:val="20"/>
                <w:lang w:val="it-IT"/>
              </w:rPr>
              <w:t xml:space="preserve">e comunque di una percentuale </w:t>
            </w:r>
            <w:r>
              <w:rPr>
                <w:rFonts w:ascii="Verdana" w:hAnsi="Verdana"/>
                <w:bCs/>
                <w:color w:val="FF0000"/>
                <w:sz w:val="20"/>
                <w:szCs w:val="20"/>
                <w:lang w:val="it-IT"/>
              </w:rPr>
              <w:t xml:space="preserve">inferiore </w:t>
            </w:r>
            <w:r w:rsidRPr="00FB6D25">
              <w:rPr>
                <w:rFonts w:ascii="Verdana" w:hAnsi="Verdana"/>
                <w:bCs/>
                <w:color w:val="FF0000"/>
                <w:sz w:val="20"/>
                <w:szCs w:val="20"/>
                <w:lang w:val="it-IT"/>
              </w:rPr>
              <w:t xml:space="preserve">al </w:t>
            </w:r>
            <w:r>
              <w:rPr>
                <w:rFonts w:ascii="Verdana" w:hAnsi="Verdana"/>
                <w:bCs/>
                <w:color w:val="FF0000"/>
                <w:sz w:val="20"/>
                <w:szCs w:val="20"/>
                <w:lang w:val="it-IT"/>
              </w:rPr>
              <w:t>15</w:t>
            </w:r>
            <w:proofErr w:type="gramStart"/>
            <w:r w:rsidRPr="00FB6D25">
              <w:rPr>
                <w:rFonts w:ascii="Verdana" w:hAnsi="Verdana"/>
                <w:bCs/>
                <w:color w:val="FF0000"/>
                <w:sz w:val="20"/>
                <w:szCs w:val="20"/>
                <w:lang w:val="it-IT"/>
              </w:rPr>
              <w:t>%</w:t>
            </w:r>
            <w:r w:rsidRPr="00FB6D25">
              <w:rPr>
                <w:rFonts w:ascii="Verdana" w:hAnsi="Verdana"/>
                <w:bCs/>
                <w:color w:val="000000"/>
                <w:sz w:val="20"/>
                <w:szCs w:val="20"/>
                <w:lang w:val="it-IT"/>
              </w:rPr>
              <w:t>,</w:t>
            </w:r>
            <w:r>
              <w:rPr>
                <w:rFonts w:ascii="Verdana" w:hAnsi="Verdana"/>
                <w:bCs/>
                <w:color w:val="000000"/>
                <w:sz w:val="20"/>
                <w:szCs w:val="20"/>
                <w:lang w:val="it-IT"/>
              </w:rPr>
              <w:t>…</w:t>
            </w:r>
            <w:proofErr w:type="gramEnd"/>
            <w:r>
              <w:rPr>
                <w:rFonts w:ascii="Verdana" w:hAnsi="Verdana"/>
                <w:bCs/>
                <w:color w:val="000000"/>
                <w:sz w:val="20"/>
                <w:szCs w:val="20"/>
                <w:lang w:val="it-IT"/>
              </w:rPr>
              <w:t>”</w:t>
            </w:r>
          </w:p>
        </w:tc>
      </w:tr>
      <w:tr w:rsidR="007608A6" w:rsidRPr="00BD5DC6" w14:paraId="5797BE67" w14:textId="77777777" w:rsidTr="005F6C4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18DDD6BA" w14:textId="38A2D15F" w:rsidR="007608A6" w:rsidRDefault="007608A6"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CD3C8" w14:textId="77777777" w:rsidR="007608A6" w:rsidRDefault="007608A6"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4</w:t>
            </w:r>
          </w:p>
          <w:p w14:paraId="11836D13" w14:textId="6426F16B" w:rsidR="007608A6" w:rsidRDefault="007608A6" w:rsidP="00885A49">
            <w:pPr>
              <w:spacing w:before="120"/>
              <w:jc w:val="center"/>
              <w:rPr>
                <w:rFonts w:ascii="Verdana" w:hAnsi="Verdana"/>
                <w:bCs/>
                <w:color w:val="000000"/>
                <w:sz w:val="20"/>
                <w:szCs w:val="20"/>
                <w:lang w:val="it-IT"/>
              </w:rPr>
            </w:pPr>
            <w:r>
              <w:rPr>
                <w:rFonts w:ascii="Verdana" w:hAnsi="Verdana"/>
                <w:bCs/>
                <w:color w:val="000000"/>
                <w:sz w:val="20"/>
                <w:szCs w:val="20"/>
                <w:lang w:val="it-IT"/>
              </w:rPr>
              <w:t>Lettera c)</w:t>
            </w:r>
          </w:p>
        </w:tc>
        <w:tc>
          <w:tcPr>
            <w:tcW w:w="11670" w:type="dxa"/>
            <w:tcBorders>
              <w:top w:val="single" w:sz="4" w:space="0" w:color="auto"/>
              <w:left w:val="single" w:sz="4" w:space="0" w:color="auto"/>
              <w:bottom w:val="single" w:sz="4" w:space="0" w:color="auto"/>
              <w:right w:val="single" w:sz="4" w:space="0" w:color="auto"/>
            </w:tcBorders>
          </w:tcPr>
          <w:p w14:paraId="3140E162" w14:textId="2344B056" w:rsidR="00FB6D25" w:rsidRDefault="007608A6" w:rsidP="00885A49">
            <w:pPr>
              <w:spacing w:before="120"/>
              <w:rPr>
                <w:rFonts w:ascii="Verdana" w:hAnsi="Verdana"/>
                <w:bCs/>
                <w:color w:val="000000"/>
                <w:sz w:val="20"/>
                <w:szCs w:val="20"/>
                <w:lang w:val="it-IT"/>
              </w:rPr>
            </w:pPr>
            <w:r>
              <w:rPr>
                <w:rFonts w:ascii="Verdana" w:hAnsi="Verdana"/>
                <w:bCs/>
                <w:color w:val="000000"/>
                <w:sz w:val="20"/>
                <w:szCs w:val="20"/>
                <w:lang w:val="it-IT"/>
              </w:rPr>
              <w:t xml:space="preserve">Si suggerisce a Codesta Spettabile Autorità di valutare l’opportunità di definire la soglia di maggiorazione di capitale minima di “terzo livello” </w:t>
            </w:r>
            <w:r w:rsidR="0043322B">
              <w:rPr>
                <w:rFonts w:ascii="Verdana" w:hAnsi="Verdana"/>
                <w:bCs/>
                <w:color w:val="000000"/>
                <w:sz w:val="20"/>
                <w:szCs w:val="20"/>
                <w:lang w:val="it-IT"/>
              </w:rPr>
              <w:t xml:space="preserve">pari </w:t>
            </w:r>
            <w:r>
              <w:rPr>
                <w:rFonts w:ascii="Verdana" w:hAnsi="Verdana"/>
                <w:bCs/>
                <w:color w:val="000000"/>
                <w:sz w:val="20"/>
                <w:szCs w:val="20"/>
                <w:lang w:val="it-IT"/>
              </w:rPr>
              <w:t>al 15% facendo riferimento alla seconda soglia richiamata, seppur in altro ambito e con altre finalità, dal comma 2 dell’articolo 279 degli Atti Delegati</w:t>
            </w:r>
            <w:r w:rsidR="00FB6D25">
              <w:rPr>
                <w:rFonts w:ascii="Verdana" w:hAnsi="Verdana"/>
                <w:bCs/>
                <w:color w:val="000000"/>
                <w:sz w:val="20"/>
                <w:szCs w:val="20"/>
                <w:lang w:val="it-IT"/>
              </w:rPr>
              <w:t xml:space="preserve"> e dunque effettuando la seguente modifica al testo:</w:t>
            </w:r>
          </w:p>
          <w:p w14:paraId="79FC1AA9" w14:textId="6A92990B" w:rsidR="007608A6" w:rsidRDefault="00FB6D25" w:rsidP="00885A49">
            <w:pPr>
              <w:spacing w:before="120"/>
              <w:rPr>
                <w:rFonts w:ascii="Verdana" w:hAnsi="Verdana"/>
                <w:bCs/>
                <w:color w:val="000000"/>
                <w:sz w:val="20"/>
                <w:szCs w:val="20"/>
                <w:lang w:val="it-IT"/>
              </w:rPr>
            </w:pPr>
            <w:r>
              <w:rPr>
                <w:rFonts w:ascii="Verdana" w:hAnsi="Verdana"/>
                <w:bCs/>
                <w:color w:val="000000"/>
                <w:sz w:val="20"/>
                <w:szCs w:val="20"/>
                <w:lang w:val="it-IT"/>
              </w:rPr>
              <w:t>“</w:t>
            </w:r>
            <w:r w:rsidRPr="00FB6D25">
              <w:rPr>
                <w:rFonts w:ascii="Verdana" w:hAnsi="Verdana"/>
                <w:bCs/>
                <w:color w:val="000000"/>
                <w:sz w:val="20"/>
                <w:szCs w:val="20"/>
                <w:lang w:val="it-IT"/>
              </w:rPr>
              <w:t xml:space="preserve">può applicare una maggiorazione di capitale, incrementando il requisito patrimoniale di solvibilità di almeno il </w:t>
            </w:r>
            <w:r w:rsidRPr="00FB6D25">
              <w:rPr>
                <w:rFonts w:ascii="Verdana" w:hAnsi="Verdana"/>
                <w:bCs/>
                <w:strike/>
                <w:color w:val="FF0000"/>
                <w:sz w:val="20"/>
                <w:szCs w:val="20"/>
                <w:lang w:val="it-IT"/>
              </w:rPr>
              <w:t>20</w:t>
            </w:r>
            <w:r w:rsidRPr="00FB6D25">
              <w:rPr>
                <w:rFonts w:ascii="Verdana" w:hAnsi="Verdana"/>
                <w:bCs/>
                <w:color w:val="FF0000"/>
                <w:sz w:val="20"/>
                <w:szCs w:val="20"/>
                <w:lang w:val="it-IT"/>
              </w:rPr>
              <w:t>15</w:t>
            </w:r>
            <w:r w:rsidRPr="00FB6D25">
              <w:rPr>
                <w:rFonts w:ascii="Verdana" w:hAnsi="Verdana"/>
                <w:bCs/>
                <w:color w:val="000000"/>
                <w:sz w:val="20"/>
                <w:szCs w:val="20"/>
                <w:lang w:val="it-IT"/>
              </w:rPr>
              <w:t>%,</w:t>
            </w:r>
            <w:r>
              <w:rPr>
                <w:rFonts w:ascii="Verdana" w:hAnsi="Verdana"/>
                <w:bCs/>
                <w:color w:val="000000"/>
                <w:sz w:val="20"/>
                <w:szCs w:val="20"/>
                <w:lang w:val="it-IT"/>
              </w:rPr>
              <w:t>…”</w:t>
            </w:r>
          </w:p>
        </w:tc>
      </w:tr>
    </w:tbl>
    <w:p w14:paraId="38DCD29A" w14:textId="77777777" w:rsidR="00691909" w:rsidRDefault="00691909" w:rsidP="00691909">
      <w:pPr>
        <w:spacing w:before="120"/>
        <w:jc w:val="both"/>
        <w:rPr>
          <w:rFonts w:ascii="Century" w:hAnsi="Century"/>
          <w:lang w:val="it-IT"/>
        </w:rPr>
      </w:pPr>
    </w:p>
    <w:p w14:paraId="0A88225C" w14:textId="77777777" w:rsidR="008B4DF0" w:rsidRDefault="008B4DF0" w:rsidP="00691909">
      <w:pPr>
        <w:spacing w:before="120"/>
        <w:jc w:val="both"/>
        <w:rPr>
          <w:rFonts w:ascii="Century" w:hAnsi="Century"/>
          <w:lang w:val="it-IT"/>
        </w:rPr>
      </w:pPr>
    </w:p>
    <w:p w14:paraId="239AD0AE" w14:textId="77777777" w:rsidR="00691909" w:rsidRPr="00673A62" w:rsidRDefault="00691909" w:rsidP="00711EC8">
      <w:pPr>
        <w:spacing w:before="120"/>
        <w:jc w:val="both"/>
        <w:rPr>
          <w:rFonts w:ascii="Century" w:hAnsi="Century"/>
          <w:lang w:val="it-IT"/>
        </w:rPr>
      </w:pPr>
    </w:p>
    <w:sectPr w:rsidR="00691909" w:rsidRPr="00673A62" w:rsidSect="00185E50">
      <w:headerReference w:type="even" r:id="rId7"/>
      <w:headerReference w:type="default" r:id="rId8"/>
      <w:footerReference w:type="even" r:id="rId9"/>
      <w:footerReference w:type="default" r:id="rId10"/>
      <w:headerReference w:type="first" r:id="rId11"/>
      <w:footerReference w:type="first" r:id="rId12"/>
      <w:pgSz w:w="16838" w:h="11906" w:orient="landscape"/>
      <w:pgMar w:top="2259" w:right="1418"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7C32" w14:textId="77777777" w:rsidR="00504C2E" w:rsidRDefault="00504C2E">
      <w:r>
        <w:separator/>
      </w:r>
    </w:p>
  </w:endnote>
  <w:endnote w:type="continuationSeparator" w:id="0">
    <w:p w14:paraId="268E5230" w14:textId="77777777" w:rsidR="00504C2E" w:rsidRDefault="0050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Frutiger LT Com 45 Ligh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F67C" w14:textId="77777777" w:rsidR="00A562B1" w:rsidRDefault="00E15612">
    <w:pPr>
      <w:pStyle w:val="Pidipagina"/>
      <w:framePr w:wrap="around" w:vAnchor="text" w:hAnchor="margin" w:xAlign="right" w:y="1"/>
      <w:rPr>
        <w:rStyle w:val="Numeropagina"/>
      </w:rPr>
    </w:pPr>
    <w:r>
      <w:rPr>
        <w:rStyle w:val="Numeropagina"/>
      </w:rPr>
      <w:fldChar w:fldCharType="begin"/>
    </w:r>
    <w:r w:rsidR="00A562B1">
      <w:rPr>
        <w:rStyle w:val="Numeropagina"/>
      </w:rPr>
      <w:instrText xml:space="preserve">PAGE  </w:instrText>
    </w:r>
    <w:r>
      <w:rPr>
        <w:rStyle w:val="Numeropagina"/>
      </w:rPr>
      <w:fldChar w:fldCharType="separate"/>
    </w:r>
    <w:r w:rsidR="00A562B1">
      <w:rPr>
        <w:rStyle w:val="Numeropagina"/>
        <w:noProof/>
      </w:rPr>
      <w:t>1</w:t>
    </w:r>
    <w:r>
      <w:rPr>
        <w:rStyle w:val="Numeropagina"/>
      </w:rPr>
      <w:fldChar w:fldCharType="end"/>
    </w:r>
  </w:p>
  <w:p w14:paraId="619EB1D6" w14:textId="77777777" w:rsidR="00A562B1" w:rsidRDefault="00A562B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AF94" w14:textId="77777777" w:rsidR="00A562B1" w:rsidRPr="003A10ED" w:rsidRDefault="00A562B1" w:rsidP="003A10ED">
    <w:pPr>
      <w:jc w:val="righ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82A9" w14:textId="77777777" w:rsidR="00D50640" w:rsidRDefault="00D506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2DDD" w14:textId="77777777" w:rsidR="00504C2E" w:rsidRDefault="00504C2E">
      <w:r>
        <w:separator/>
      </w:r>
    </w:p>
  </w:footnote>
  <w:footnote w:type="continuationSeparator" w:id="0">
    <w:p w14:paraId="0DB6591A" w14:textId="77777777" w:rsidR="00504C2E" w:rsidRDefault="0050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6764" w14:textId="77777777" w:rsidR="00D50640" w:rsidRDefault="00D506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03B9" w14:textId="77777777" w:rsidR="00A562B1" w:rsidRDefault="00D50640" w:rsidP="00185E50">
    <w:pPr>
      <w:pStyle w:val="Intestazione"/>
      <w:jc w:val="center"/>
    </w:pPr>
    <w:r>
      <w:rPr>
        <w:noProof/>
        <w:color w:val="1F497D"/>
        <w:lang w:val="it-IT" w:eastAsia="it-IT"/>
      </w:rPr>
      <w:drawing>
        <wp:inline distT="0" distB="0" distL="0" distR="0" wp14:anchorId="145CDB5C" wp14:editId="495815F0">
          <wp:extent cx="2286000" cy="742156"/>
          <wp:effectExtent l="0" t="0" r="0" b="1270"/>
          <wp:docPr id="1" name="Immagine 1" descr="ivass-marchio rid-2016-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vass-marchio rid-2016-bl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7421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34D1" w14:textId="77777777" w:rsidR="00D50640" w:rsidRDefault="00D506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in;height:423pt" o:bullet="t">
        <v:imagedata r:id="rId1" o:title="clip_image001"/>
      </v:shape>
    </w:pict>
  </w:numPicBullet>
  <w:abstractNum w:abstractNumId="0" w15:restartNumberingAfterBreak="0">
    <w:nsid w:val="07C54606"/>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8A83616"/>
    <w:multiLevelType w:val="multilevel"/>
    <w:tmpl w:val="79D67176"/>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9CD3D80"/>
    <w:multiLevelType w:val="hybridMultilevel"/>
    <w:tmpl w:val="63042926"/>
    <w:lvl w:ilvl="0" w:tplc="B53AFDF0">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5F61"/>
    <w:multiLevelType w:val="hybridMultilevel"/>
    <w:tmpl w:val="8F4E18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711CBC"/>
    <w:multiLevelType w:val="hybridMultilevel"/>
    <w:tmpl w:val="3D880146"/>
    <w:lvl w:ilvl="0" w:tplc="A0A2EDFE">
      <w:start w:val="1"/>
      <w:numFmt w:val="bullet"/>
      <w:pStyle w:val="ContinuousSquareBullet"/>
      <w:lvlText w:val="•"/>
      <w:lvlJc w:val="left"/>
      <w:pPr>
        <w:tabs>
          <w:tab w:val="num" w:pos="720"/>
        </w:tabs>
        <w:ind w:left="720" w:hanging="360"/>
      </w:pPr>
      <w:rPr>
        <w:rFonts w:ascii="Times New Roman" w:hAnsi="Times New Roman" w:hint="default"/>
      </w:rPr>
    </w:lvl>
    <w:lvl w:ilvl="1" w:tplc="BC92A790">
      <w:start w:val="139"/>
      <w:numFmt w:val="bullet"/>
      <w:lvlText w:val=""/>
      <w:lvlJc w:val="left"/>
      <w:pPr>
        <w:tabs>
          <w:tab w:val="num" w:pos="1440"/>
        </w:tabs>
        <w:ind w:left="1440" w:hanging="360"/>
      </w:pPr>
      <w:rPr>
        <w:rFonts w:ascii="Wingdings" w:hAnsi="Wingdings" w:hint="default"/>
      </w:rPr>
    </w:lvl>
    <w:lvl w:ilvl="2" w:tplc="BC6E7100" w:tentative="1">
      <w:start w:val="1"/>
      <w:numFmt w:val="bullet"/>
      <w:lvlText w:val="•"/>
      <w:lvlJc w:val="left"/>
      <w:pPr>
        <w:tabs>
          <w:tab w:val="num" w:pos="2160"/>
        </w:tabs>
        <w:ind w:left="2160" w:hanging="360"/>
      </w:pPr>
      <w:rPr>
        <w:rFonts w:ascii="Times New Roman" w:hAnsi="Times New Roman" w:hint="default"/>
      </w:rPr>
    </w:lvl>
    <w:lvl w:ilvl="3" w:tplc="97DA24E0" w:tentative="1">
      <w:start w:val="1"/>
      <w:numFmt w:val="bullet"/>
      <w:lvlText w:val="•"/>
      <w:lvlJc w:val="left"/>
      <w:pPr>
        <w:tabs>
          <w:tab w:val="num" w:pos="2880"/>
        </w:tabs>
        <w:ind w:left="2880" w:hanging="360"/>
      </w:pPr>
      <w:rPr>
        <w:rFonts w:ascii="Times New Roman" w:hAnsi="Times New Roman" w:hint="default"/>
      </w:rPr>
    </w:lvl>
    <w:lvl w:ilvl="4" w:tplc="17F0A18E" w:tentative="1">
      <w:start w:val="1"/>
      <w:numFmt w:val="bullet"/>
      <w:lvlText w:val="•"/>
      <w:lvlJc w:val="left"/>
      <w:pPr>
        <w:tabs>
          <w:tab w:val="num" w:pos="3600"/>
        </w:tabs>
        <w:ind w:left="3600" w:hanging="360"/>
      </w:pPr>
      <w:rPr>
        <w:rFonts w:ascii="Times New Roman" w:hAnsi="Times New Roman" w:hint="default"/>
      </w:rPr>
    </w:lvl>
    <w:lvl w:ilvl="5" w:tplc="6948859E" w:tentative="1">
      <w:start w:val="1"/>
      <w:numFmt w:val="bullet"/>
      <w:lvlText w:val="•"/>
      <w:lvlJc w:val="left"/>
      <w:pPr>
        <w:tabs>
          <w:tab w:val="num" w:pos="4320"/>
        </w:tabs>
        <w:ind w:left="4320" w:hanging="360"/>
      </w:pPr>
      <w:rPr>
        <w:rFonts w:ascii="Times New Roman" w:hAnsi="Times New Roman" w:hint="default"/>
      </w:rPr>
    </w:lvl>
    <w:lvl w:ilvl="6" w:tplc="780ABA74" w:tentative="1">
      <w:start w:val="1"/>
      <w:numFmt w:val="bullet"/>
      <w:lvlText w:val="•"/>
      <w:lvlJc w:val="left"/>
      <w:pPr>
        <w:tabs>
          <w:tab w:val="num" w:pos="5040"/>
        </w:tabs>
        <w:ind w:left="5040" w:hanging="360"/>
      </w:pPr>
      <w:rPr>
        <w:rFonts w:ascii="Times New Roman" w:hAnsi="Times New Roman" w:hint="default"/>
      </w:rPr>
    </w:lvl>
    <w:lvl w:ilvl="7" w:tplc="8EF00816" w:tentative="1">
      <w:start w:val="1"/>
      <w:numFmt w:val="bullet"/>
      <w:lvlText w:val="•"/>
      <w:lvlJc w:val="left"/>
      <w:pPr>
        <w:tabs>
          <w:tab w:val="num" w:pos="5760"/>
        </w:tabs>
        <w:ind w:left="5760" w:hanging="360"/>
      </w:pPr>
      <w:rPr>
        <w:rFonts w:ascii="Times New Roman" w:hAnsi="Times New Roman" w:hint="default"/>
      </w:rPr>
    </w:lvl>
    <w:lvl w:ilvl="8" w:tplc="AA448C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9B4D4F"/>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64D4C31"/>
    <w:multiLevelType w:val="multilevel"/>
    <w:tmpl w:val="3AF078A6"/>
    <w:styleLink w:val="Decision"/>
    <w:lvl w:ilvl="0">
      <w:start w:val="1"/>
      <w:numFmt w:val="decimal"/>
      <w:pStyle w:val="Titles"/>
      <w:suff w:val="space"/>
      <w:lvlText w:val="Title %1"/>
      <w:lvlJc w:val="left"/>
      <w:pPr>
        <w:ind w:left="0" w:firstLine="0"/>
      </w:pPr>
      <w:rPr>
        <w:rFonts w:hint="default"/>
      </w:rPr>
    </w:lvl>
    <w:lvl w:ilvl="1">
      <w:start w:val="1"/>
      <w:numFmt w:val="decimal"/>
      <w:pStyle w:val="Chapter"/>
      <w:suff w:val="space"/>
      <w:lvlText w:val="Chapter %2"/>
      <w:lvlJc w:val="left"/>
      <w:pPr>
        <w:ind w:left="0" w:firstLine="0"/>
      </w:pPr>
      <w:rPr>
        <w:rFonts w:hint="default"/>
        <w:sz w:val="24"/>
      </w:rPr>
    </w:lvl>
    <w:lvl w:ilvl="2">
      <w:start w:val="1"/>
      <w:numFmt w:val="decimal"/>
      <w:pStyle w:val="Article"/>
      <w:suff w:val="space"/>
      <w:lvlText w:val="Article %3"/>
      <w:lvlJc w:val="left"/>
      <w:pPr>
        <w:ind w:left="0" w:firstLine="0"/>
      </w:pPr>
      <w:rPr>
        <w:rFonts w:hint="default"/>
      </w:rPr>
    </w:lvl>
    <w:lvl w:ilvl="3">
      <w:start w:val="1"/>
      <w:numFmt w:val="decimal"/>
      <w:pStyle w:val="Para1"/>
      <w:lvlText w:val="%4."/>
      <w:lvlJc w:val="left"/>
      <w:pPr>
        <w:tabs>
          <w:tab w:val="num" w:pos="720"/>
        </w:tabs>
        <w:ind w:left="720" w:hanging="720"/>
      </w:pPr>
      <w:rPr>
        <w:rFonts w:hint="default"/>
      </w:rPr>
    </w:lvl>
    <w:lvl w:ilvl="4">
      <w:start w:val="1"/>
      <w:numFmt w:val="lowerLetter"/>
      <w:pStyle w:val="Sub-paraa"/>
      <w:lvlText w:val="(%5)"/>
      <w:lvlJc w:val="left"/>
      <w:pPr>
        <w:tabs>
          <w:tab w:val="num" w:pos="1440"/>
        </w:tabs>
        <w:ind w:left="1440" w:hanging="720"/>
      </w:pPr>
      <w:rPr>
        <w:rFonts w:hint="default"/>
      </w:rPr>
    </w:lvl>
    <w:lvl w:ilvl="5">
      <w:start w:val="1"/>
      <w:numFmt w:val="lowerRoman"/>
      <w:pStyle w:val="Sub-parai"/>
      <w:lvlText w:val="(%6)"/>
      <w:lvlJc w:val="left"/>
      <w:pPr>
        <w:tabs>
          <w:tab w:val="num" w:pos="2160"/>
        </w:tabs>
        <w:ind w:left="216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BBE02F9"/>
    <w:multiLevelType w:val="hybridMultilevel"/>
    <w:tmpl w:val="8CC863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BDB5C2F"/>
    <w:multiLevelType w:val="hybridMultilevel"/>
    <w:tmpl w:val="62F490D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187D3B"/>
    <w:multiLevelType w:val="hybridMultilevel"/>
    <w:tmpl w:val="41360ECC"/>
    <w:lvl w:ilvl="0" w:tplc="7BE2020E">
      <w:numFmt w:val="bullet"/>
      <w:lvlText w:val="-"/>
      <w:lvlJc w:val="left"/>
      <w:pPr>
        <w:ind w:left="720" w:hanging="360"/>
      </w:pPr>
      <w:rPr>
        <w:rFonts w:ascii="Verdana" w:eastAsia="Times New Roman" w:hAnsi="Verdana"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3BD419B"/>
    <w:multiLevelType w:val="multilevel"/>
    <w:tmpl w:val="A89E3C18"/>
    <w:lvl w:ilvl="0">
      <w:start w:val="1"/>
      <w:numFmt w:val="bullet"/>
      <w:lvlText w:val=""/>
      <w:lvlJc w:val="left"/>
      <w:pPr>
        <w:tabs>
          <w:tab w:val="num" w:pos="360"/>
        </w:tabs>
        <w:ind w:left="360" w:hanging="360"/>
      </w:pPr>
      <w:rPr>
        <w:rFonts w:ascii="Wingdings" w:hAnsi="Wingdings" w:hint="default"/>
        <w:sz w:val="20"/>
      </w:rPr>
    </w:lvl>
    <w:lvl w:ilvl="1">
      <w:start w:val="1"/>
      <w:numFmt w:val="bullet"/>
      <w:pStyle w:val="Subbulet"/>
      <w:lvlText w:val=""/>
      <w:lvlJc w:val="left"/>
      <w:pPr>
        <w:tabs>
          <w:tab w:val="num" w:pos="720"/>
        </w:tabs>
        <w:ind w:left="720" w:hanging="360"/>
      </w:pPr>
      <w:rPr>
        <w:rFonts w:ascii="Wingdings" w:hAnsi="Wingdings" w:hint="default"/>
        <w:color w:val="auto"/>
        <w:sz w:val="20"/>
      </w:rPr>
    </w:lvl>
    <w:lvl w:ilvl="2">
      <w:start w:val="1"/>
      <w:numFmt w:val="bullet"/>
      <w:lvlText w:val=""/>
      <w:lvlJc w:val="left"/>
      <w:pPr>
        <w:tabs>
          <w:tab w:val="num" w:pos="1080"/>
        </w:tabs>
        <w:ind w:left="1080" w:hanging="360"/>
      </w:pPr>
      <w:rPr>
        <w:rFonts w:ascii="Symbol" w:hAnsi="Symbol" w:hint="default"/>
        <w:sz w:val="22"/>
      </w:rPr>
    </w:lvl>
    <w:lvl w:ilvl="3">
      <w:start w:val="1"/>
      <w:numFmt w:val="none"/>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ascii="Symbol" w:hAnsi="Symbol" w:hint="default"/>
      </w:rPr>
    </w:lvl>
    <w:lvl w:ilvl="5">
      <w:start w:val="1"/>
      <w:numFmt w:val="none"/>
      <w:lvlText w:val=""/>
      <w:lvlJc w:val="left"/>
      <w:pPr>
        <w:tabs>
          <w:tab w:val="num" w:pos="2160"/>
        </w:tabs>
        <w:ind w:left="2160" w:hanging="360"/>
      </w:pPr>
      <w:rPr>
        <w:rFonts w:ascii="Wingdings" w:hAnsi="Wingdings" w:hint="default"/>
      </w:rPr>
    </w:lvl>
    <w:lvl w:ilvl="6">
      <w:start w:val="1"/>
      <w:numFmt w:val="none"/>
      <w:lvlText w:val=""/>
      <w:lvlJc w:val="left"/>
      <w:pPr>
        <w:tabs>
          <w:tab w:val="num" w:pos="2520"/>
        </w:tabs>
        <w:ind w:left="2520" w:hanging="360"/>
      </w:pPr>
      <w:rPr>
        <w:rFonts w:ascii="Wingdings" w:hAnsi="Wingdings" w:hint="default"/>
      </w:rPr>
    </w:lvl>
    <w:lvl w:ilvl="7">
      <w:start w:val="1"/>
      <w:numFmt w:val="none"/>
      <w:lvlText w:val=""/>
      <w:lvlJc w:val="left"/>
      <w:pPr>
        <w:tabs>
          <w:tab w:val="num" w:pos="2880"/>
        </w:tabs>
        <w:ind w:left="2880" w:hanging="360"/>
      </w:pPr>
      <w:rPr>
        <w:rFonts w:ascii="Symbol" w:hAnsi="Symbol" w:hint="default"/>
      </w:rPr>
    </w:lvl>
    <w:lvl w:ilvl="8">
      <w:start w:val="1"/>
      <w:numFmt w:val="none"/>
      <w:lvlText w:val=""/>
      <w:lvlJc w:val="left"/>
      <w:pPr>
        <w:tabs>
          <w:tab w:val="num" w:pos="3240"/>
        </w:tabs>
        <w:ind w:left="3240" w:hanging="360"/>
      </w:pPr>
      <w:rPr>
        <w:rFonts w:ascii="Symbol" w:hAnsi="Symbol" w:hint="default"/>
      </w:rPr>
    </w:lvl>
  </w:abstractNum>
  <w:abstractNum w:abstractNumId="11" w15:restartNumberingAfterBreak="0">
    <w:nsid w:val="255C7621"/>
    <w:multiLevelType w:val="multilevel"/>
    <w:tmpl w:val="4DCE6238"/>
    <w:lvl w:ilvl="0">
      <w:start w:val="1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9600BDA"/>
    <w:multiLevelType w:val="hybridMultilevel"/>
    <w:tmpl w:val="CF5EF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81DA6"/>
    <w:multiLevelType w:val="hybridMultilevel"/>
    <w:tmpl w:val="605C0894"/>
    <w:lvl w:ilvl="0" w:tplc="DC20374C">
      <w:start w:val="1"/>
      <w:numFmt w:val="decimal"/>
      <w:pStyle w:val="Numberedparagraph"/>
      <w:lvlText w:val="%1."/>
      <w:lvlJc w:val="left"/>
      <w:pPr>
        <w:tabs>
          <w:tab w:val="num" w:pos="0"/>
        </w:tabs>
        <w:ind w:left="0" w:hanging="567"/>
      </w:pPr>
      <w:rPr>
        <w:rFonts w:ascii="Arial" w:hAnsi="Arial" w:hint="default"/>
        <w:b w:val="0"/>
        <w:i w:val="0"/>
        <w:color w:val="auto"/>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263CF"/>
    <w:multiLevelType w:val="multilevel"/>
    <w:tmpl w:val="3AF078A6"/>
    <w:numStyleLink w:val="Decision"/>
  </w:abstractNum>
  <w:abstractNum w:abstractNumId="15" w15:restartNumberingAfterBreak="0">
    <w:nsid w:val="2CBB33D7"/>
    <w:multiLevelType w:val="hybridMultilevel"/>
    <w:tmpl w:val="05F6FAD4"/>
    <w:lvl w:ilvl="0" w:tplc="04090017">
      <w:start w:val="1"/>
      <w:numFmt w:val="lowerLetter"/>
      <w:lvlText w:val="%1)"/>
      <w:lvlJc w:val="left"/>
      <w:pPr>
        <w:tabs>
          <w:tab w:val="num" w:pos="900"/>
        </w:tabs>
        <w:ind w:left="900" w:hanging="360"/>
      </w:pPr>
      <w:rPr>
        <w:rFonts w:hint="default"/>
      </w:rPr>
    </w:lvl>
    <w:lvl w:ilvl="1" w:tplc="218A0AA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5501E7"/>
    <w:multiLevelType w:val="hybridMultilevel"/>
    <w:tmpl w:val="6BB68CAC"/>
    <w:lvl w:ilvl="0" w:tplc="79C02406">
      <w:start w:val="1"/>
      <w:numFmt w:val="bullet"/>
      <w:lvlText w:val="-"/>
      <w:lvlJc w:val="left"/>
      <w:pPr>
        <w:tabs>
          <w:tab w:val="num" w:pos="720"/>
        </w:tabs>
        <w:ind w:left="72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A767D"/>
    <w:multiLevelType w:val="multilevel"/>
    <w:tmpl w:val="E27A13A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5A11729"/>
    <w:multiLevelType w:val="hybridMultilevel"/>
    <w:tmpl w:val="7166E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EC7A05"/>
    <w:multiLevelType w:val="multilevel"/>
    <w:tmpl w:val="4C5A7D54"/>
    <w:lvl w:ilvl="0">
      <w:start w:val="7"/>
      <w:numFmt w:val="decimal"/>
      <w:lvlText w:val="%1."/>
      <w:lvlJc w:val="left"/>
      <w:pPr>
        <w:tabs>
          <w:tab w:val="num" w:pos="450"/>
        </w:tabs>
        <w:ind w:left="450" w:hanging="450"/>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3D3969F8"/>
    <w:multiLevelType w:val="hybridMultilevel"/>
    <w:tmpl w:val="B0FADA60"/>
    <w:lvl w:ilvl="0" w:tplc="A8CE68CC">
      <w:numFmt w:val="bullet"/>
      <w:lvlText w:val="-"/>
      <w:lvlJc w:val="left"/>
      <w:pPr>
        <w:ind w:left="720" w:hanging="360"/>
      </w:pPr>
      <w:rPr>
        <w:rFonts w:ascii="Cambria" w:eastAsia="Times New Roman"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40566C5E"/>
    <w:multiLevelType w:val="hybridMultilevel"/>
    <w:tmpl w:val="48C62F42"/>
    <w:lvl w:ilvl="0" w:tplc="A594C0C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F541A"/>
    <w:multiLevelType w:val="multilevel"/>
    <w:tmpl w:val="6582C414"/>
    <w:lvl w:ilvl="0">
      <w:start w:val="1"/>
      <w:numFmt w:val="decimal"/>
      <w:lvlText w:val="%1."/>
      <w:lvlJc w:val="left"/>
      <w:pPr>
        <w:tabs>
          <w:tab w:val="num" w:pos="1134"/>
        </w:tabs>
        <w:ind w:left="1134" w:hanging="1134"/>
      </w:pPr>
      <w:rPr>
        <w:rFonts w:cs="Times New Roman" w:hint="default"/>
        <w:color w:val="FFFFFF"/>
      </w:rPr>
    </w:lvl>
    <w:lvl w:ilvl="1">
      <w:start w:val="1"/>
      <w:numFmt w:val="decimal"/>
      <w:pStyle w:val="QISTextCharCharCharCharCharCharCharCharCharCharCharCharChar1CharChar"/>
      <w:lvlText w:val="1.%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44261A85"/>
    <w:multiLevelType w:val="hybridMultilevel"/>
    <w:tmpl w:val="9C3C1076"/>
    <w:lvl w:ilvl="0" w:tplc="0F768706">
      <w:start w:val="1"/>
      <w:numFmt w:val="decimal"/>
      <w:pStyle w:val="04aNumeration"/>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193E34"/>
    <w:multiLevelType w:val="multilevel"/>
    <w:tmpl w:val="83082EF8"/>
    <w:lvl w:ilvl="0">
      <w:start w:val="8"/>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Verdana" w:hAnsi="Verdana" w:hint="default"/>
        <w:sz w:val="22"/>
        <w:szCs w:val="22"/>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7D04C22"/>
    <w:multiLevelType w:val="multilevel"/>
    <w:tmpl w:val="1B142FE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79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1DE0545"/>
    <w:multiLevelType w:val="hybridMultilevel"/>
    <w:tmpl w:val="EEF60ACA"/>
    <w:lvl w:ilvl="0" w:tplc="3FD664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9C7E7A"/>
    <w:multiLevelType w:val="multilevel"/>
    <w:tmpl w:val="55B4759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65B2E0B"/>
    <w:multiLevelType w:val="multilevel"/>
    <w:tmpl w:val="5242077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6E14291"/>
    <w:multiLevelType w:val="hybridMultilevel"/>
    <w:tmpl w:val="390CCBC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A4B34A2"/>
    <w:multiLevelType w:val="multilevel"/>
    <w:tmpl w:val="EABE2EEE"/>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B3F593C"/>
    <w:multiLevelType w:val="hybridMultilevel"/>
    <w:tmpl w:val="4FC6F15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8F1467"/>
    <w:multiLevelType w:val="hybridMultilevel"/>
    <w:tmpl w:val="DB4C7C68"/>
    <w:lvl w:ilvl="0" w:tplc="6792E460">
      <w:start w:val="4"/>
      <w:numFmt w:val="bullet"/>
      <w:lvlText w:val="-"/>
      <w:lvlJc w:val="left"/>
      <w:pPr>
        <w:ind w:left="502" w:hanging="360"/>
      </w:pPr>
      <w:rPr>
        <w:rFonts w:ascii="Century" w:eastAsia="Times New Roman" w:hAnsi="Century"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5E31570F"/>
    <w:multiLevelType w:val="hybridMultilevel"/>
    <w:tmpl w:val="66F079C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3289D"/>
    <w:multiLevelType w:val="hybridMultilevel"/>
    <w:tmpl w:val="8A44B6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D124FC"/>
    <w:multiLevelType w:val="hybridMultilevel"/>
    <w:tmpl w:val="2C0C451C"/>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7F86056A"/>
    <w:multiLevelType w:val="hybridMultilevel"/>
    <w:tmpl w:val="E6FE4A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4"/>
  </w:num>
  <w:num w:numId="3">
    <w:abstractNumId w:val="21"/>
  </w:num>
  <w:num w:numId="4">
    <w:abstractNumId w:val="13"/>
  </w:num>
  <w:num w:numId="5">
    <w:abstractNumId w:val="22"/>
  </w:num>
  <w:num w:numId="6">
    <w:abstractNumId w:val="12"/>
  </w:num>
  <w:num w:numId="7">
    <w:abstractNumId w:val="23"/>
  </w:num>
  <w:num w:numId="8">
    <w:abstractNumId w:val="15"/>
  </w:num>
  <w:num w:numId="9">
    <w:abstractNumId w:val="6"/>
    <w:lvlOverride w:ilvl="0">
      <w:lvl w:ilvl="0">
        <w:start w:val="1"/>
        <w:numFmt w:val="decimal"/>
        <w:pStyle w:val="Titles"/>
        <w:suff w:val="space"/>
        <w:lvlText w:val="Title %1"/>
        <w:lvlJc w:val="left"/>
        <w:pPr>
          <w:ind w:left="0" w:firstLine="0"/>
        </w:pPr>
        <w:rPr>
          <w:rFonts w:hint="default"/>
        </w:rPr>
      </w:lvl>
    </w:lvlOverride>
    <w:lvlOverride w:ilvl="1">
      <w:lvl w:ilvl="1">
        <w:start w:val="1"/>
        <w:numFmt w:val="decimal"/>
        <w:pStyle w:val="Chapter"/>
        <w:suff w:val="space"/>
        <w:lvlText w:val="Chapter %2"/>
        <w:lvlJc w:val="left"/>
        <w:pPr>
          <w:ind w:left="0" w:firstLine="0"/>
        </w:pPr>
        <w:rPr>
          <w:rFonts w:hint="default"/>
          <w:sz w:val="24"/>
        </w:rPr>
      </w:lvl>
    </w:lvlOverride>
    <w:lvlOverride w:ilvl="2">
      <w:lvl w:ilvl="2">
        <w:start w:val="1"/>
        <w:numFmt w:val="decimal"/>
        <w:lvlRestart w:val="0"/>
        <w:pStyle w:val="Article"/>
        <w:suff w:val="space"/>
        <w:lvlText w:val="Article %3"/>
        <w:lvlJc w:val="left"/>
        <w:pPr>
          <w:ind w:left="0" w:firstLine="0"/>
        </w:pPr>
        <w:rPr>
          <w:rFonts w:hint="default"/>
        </w:rPr>
      </w:lvl>
    </w:lvlOverride>
    <w:lvlOverride w:ilvl="3">
      <w:lvl w:ilvl="3">
        <w:start w:val="1"/>
        <w:numFmt w:val="decimal"/>
        <w:pStyle w:val="Para1"/>
        <w:lvlText w:val="(%4)"/>
        <w:lvlJc w:val="left"/>
        <w:pPr>
          <w:tabs>
            <w:tab w:val="num" w:pos="720"/>
          </w:tabs>
          <w:ind w:left="720" w:hanging="720"/>
        </w:pPr>
        <w:rPr>
          <w:rFonts w:hint="default"/>
        </w:rPr>
      </w:lvl>
    </w:lvlOverride>
    <w:lvlOverride w:ilvl="4">
      <w:lvl w:ilvl="4">
        <w:start w:val="1"/>
        <w:numFmt w:val="lowerLetter"/>
        <w:pStyle w:val="Sub-paraa"/>
        <w:lvlText w:val="(%5)"/>
        <w:lvlJc w:val="left"/>
        <w:pPr>
          <w:tabs>
            <w:tab w:val="num" w:pos="1440"/>
          </w:tabs>
          <w:ind w:left="1440" w:hanging="720"/>
        </w:pPr>
        <w:rPr>
          <w:rFonts w:hint="default"/>
        </w:rPr>
      </w:lvl>
    </w:lvlOverride>
    <w:lvlOverride w:ilvl="5">
      <w:lvl w:ilvl="5">
        <w:start w:val="1"/>
        <w:numFmt w:val="lowerRoman"/>
        <w:pStyle w:val="Sub-parai"/>
        <w:lvlText w:val="(%6)"/>
        <w:lvlJc w:val="left"/>
        <w:pPr>
          <w:tabs>
            <w:tab w:val="num" w:pos="2160"/>
          </w:tabs>
          <w:ind w:left="2160" w:hanging="720"/>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Restart w:val="2"/>
        <w:lvlText w:val="%9."/>
        <w:lvlJc w:val="right"/>
        <w:pPr>
          <w:tabs>
            <w:tab w:val="num" w:pos="1584"/>
          </w:tabs>
          <w:ind w:left="1584" w:hanging="144"/>
        </w:pPr>
        <w:rPr>
          <w:rFonts w:hint="default"/>
        </w:rPr>
      </w:lvl>
    </w:lvlOverride>
  </w:num>
  <w:num w:numId="10">
    <w:abstractNumId w:val="14"/>
    <w:lvlOverride w:ilvl="0">
      <w:lvl w:ilvl="0">
        <w:start w:val="1"/>
        <w:numFmt w:val="decimal"/>
        <w:pStyle w:val="Titles"/>
        <w:suff w:val="space"/>
        <w:lvlText w:val="Title %1"/>
        <w:lvlJc w:val="left"/>
        <w:pPr>
          <w:ind w:left="0" w:firstLine="0"/>
        </w:pPr>
        <w:rPr>
          <w:rFonts w:hint="default"/>
        </w:rPr>
      </w:lvl>
    </w:lvlOverride>
    <w:lvlOverride w:ilvl="1">
      <w:lvl w:ilvl="1">
        <w:start w:val="1"/>
        <w:numFmt w:val="decimal"/>
        <w:pStyle w:val="Chapter"/>
        <w:suff w:val="space"/>
        <w:lvlText w:val="Chapter %2"/>
        <w:lvlJc w:val="left"/>
        <w:pPr>
          <w:ind w:left="0" w:firstLine="0"/>
        </w:pPr>
        <w:rPr>
          <w:rFonts w:hint="default"/>
          <w:sz w:val="24"/>
        </w:rPr>
      </w:lvl>
    </w:lvlOverride>
    <w:lvlOverride w:ilvl="2">
      <w:lvl w:ilvl="2">
        <w:start w:val="1"/>
        <w:numFmt w:val="decimal"/>
        <w:lvlRestart w:val="0"/>
        <w:pStyle w:val="Article"/>
        <w:suff w:val="space"/>
        <w:lvlText w:val="Article %3"/>
        <w:lvlJc w:val="left"/>
        <w:pPr>
          <w:ind w:left="0" w:firstLine="0"/>
        </w:pPr>
        <w:rPr>
          <w:rFonts w:hint="default"/>
        </w:rPr>
      </w:lvl>
    </w:lvlOverride>
    <w:lvlOverride w:ilvl="3">
      <w:lvl w:ilvl="3">
        <w:start w:val="1"/>
        <w:numFmt w:val="decimal"/>
        <w:pStyle w:val="Para1"/>
        <w:lvlText w:val="(%4)"/>
        <w:lvlJc w:val="left"/>
        <w:pPr>
          <w:tabs>
            <w:tab w:val="num" w:pos="720"/>
          </w:tabs>
          <w:ind w:left="720" w:hanging="720"/>
        </w:pPr>
        <w:rPr>
          <w:rFonts w:hint="default"/>
        </w:rPr>
      </w:lvl>
    </w:lvlOverride>
    <w:lvlOverride w:ilvl="4">
      <w:lvl w:ilvl="4">
        <w:start w:val="1"/>
        <w:numFmt w:val="lowerLetter"/>
        <w:pStyle w:val="Sub-paraa"/>
        <w:lvlText w:val="(%5)"/>
        <w:lvlJc w:val="left"/>
        <w:pPr>
          <w:tabs>
            <w:tab w:val="num" w:pos="1440"/>
          </w:tabs>
          <w:ind w:left="1440" w:hanging="720"/>
        </w:pPr>
        <w:rPr>
          <w:rFonts w:hint="default"/>
        </w:rPr>
      </w:lvl>
    </w:lvlOverride>
    <w:lvlOverride w:ilvl="5">
      <w:lvl w:ilvl="5">
        <w:start w:val="1"/>
        <w:numFmt w:val="lowerRoman"/>
        <w:pStyle w:val="Sub-parai"/>
        <w:lvlText w:val="(%6)"/>
        <w:lvlJc w:val="left"/>
        <w:pPr>
          <w:tabs>
            <w:tab w:val="num" w:pos="2160"/>
          </w:tabs>
          <w:ind w:left="2160" w:hanging="720"/>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start w:val="1"/>
        <w:numFmt w:val="lowerRoman"/>
        <w:lvlRestart w:val="2"/>
        <w:lvlText w:val="%9."/>
        <w:lvlJc w:val="right"/>
        <w:pPr>
          <w:tabs>
            <w:tab w:val="num" w:pos="1584"/>
          </w:tabs>
          <w:ind w:left="1584" w:hanging="144"/>
        </w:pPr>
        <w:rPr>
          <w:rFonts w:hint="default"/>
        </w:rPr>
      </w:lvl>
    </w:lvlOverride>
  </w:num>
  <w:num w:numId="11">
    <w:abstractNumId w:val="25"/>
  </w:num>
  <w:num w:numId="12">
    <w:abstractNumId w:val="28"/>
  </w:num>
  <w:num w:numId="13">
    <w:abstractNumId w:val="33"/>
  </w:num>
  <w:num w:numId="14">
    <w:abstractNumId w:val="19"/>
  </w:num>
  <w:num w:numId="15">
    <w:abstractNumId w:val="24"/>
  </w:num>
  <w:num w:numId="16">
    <w:abstractNumId w:val="1"/>
  </w:num>
  <w:num w:numId="17">
    <w:abstractNumId w:val="35"/>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30"/>
  </w:num>
  <w:num w:numId="23">
    <w:abstractNumId w:val="17"/>
  </w:num>
  <w:num w:numId="24">
    <w:abstractNumId w:val="2"/>
  </w:num>
  <w:num w:numId="25">
    <w:abstractNumId w:val="34"/>
  </w:num>
  <w:num w:numId="26">
    <w:abstractNumId w:val="1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0"/>
  </w:num>
  <w:num w:numId="30">
    <w:abstractNumId w:val="29"/>
  </w:num>
  <w:num w:numId="31">
    <w:abstractNumId w:val="27"/>
  </w:num>
  <w:num w:numId="32">
    <w:abstractNumId w:val="16"/>
  </w:num>
  <w:num w:numId="33">
    <w:abstractNumId w:val="20"/>
  </w:num>
  <w:num w:numId="34">
    <w:abstractNumId w:val="3"/>
  </w:num>
  <w:num w:numId="35">
    <w:abstractNumId w:val="36"/>
  </w:num>
  <w:num w:numId="36">
    <w:abstractNumId w:val="18"/>
  </w:num>
  <w:num w:numId="37">
    <w:abstractNumId w:val="6"/>
  </w:num>
  <w:num w:numId="38">
    <w:abstractNumId w:val="32"/>
  </w:num>
  <w:num w:numId="39">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39"/>
    <w:rsid w:val="000014BC"/>
    <w:rsid w:val="00002926"/>
    <w:rsid w:val="000102E7"/>
    <w:rsid w:val="000109CD"/>
    <w:rsid w:val="00015293"/>
    <w:rsid w:val="00020EEB"/>
    <w:rsid w:val="00027478"/>
    <w:rsid w:val="00033CCC"/>
    <w:rsid w:val="000346C1"/>
    <w:rsid w:val="000363B3"/>
    <w:rsid w:val="00036C1B"/>
    <w:rsid w:val="00040F83"/>
    <w:rsid w:val="00041536"/>
    <w:rsid w:val="0005214C"/>
    <w:rsid w:val="00052570"/>
    <w:rsid w:val="00053565"/>
    <w:rsid w:val="000536D7"/>
    <w:rsid w:val="000569A6"/>
    <w:rsid w:val="00061CF8"/>
    <w:rsid w:val="000634C5"/>
    <w:rsid w:val="00064913"/>
    <w:rsid w:val="00066ABD"/>
    <w:rsid w:val="000772EB"/>
    <w:rsid w:val="0008066A"/>
    <w:rsid w:val="00082B03"/>
    <w:rsid w:val="00084B95"/>
    <w:rsid w:val="00084CDE"/>
    <w:rsid w:val="00085BE0"/>
    <w:rsid w:val="00086905"/>
    <w:rsid w:val="00096230"/>
    <w:rsid w:val="000963E5"/>
    <w:rsid w:val="000A207B"/>
    <w:rsid w:val="000A6467"/>
    <w:rsid w:val="000A668D"/>
    <w:rsid w:val="000B222E"/>
    <w:rsid w:val="000B33D5"/>
    <w:rsid w:val="000B405F"/>
    <w:rsid w:val="000B623B"/>
    <w:rsid w:val="000C0AFF"/>
    <w:rsid w:val="000C0DA8"/>
    <w:rsid w:val="000C59A8"/>
    <w:rsid w:val="000C5E2B"/>
    <w:rsid w:val="000D0EC2"/>
    <w:rsid w:val="000D22C9"/>
    <w:rsid w:val="000D4F15"/>
    <w:rsid w:val="000D71CF"/>
    <w:rsid w:val="000E1EBF"/>
    <w:rsid w:val="000E294F"/>
    <w:rsid w:val="000E2F28"/>
    <w:rsid w:val="000E3560"/>
    <w:rsid w:val="000E39E6"/>
    <w:rsid w:val="000E47BF"/>
    <w:rsid w:val="000E7318"/>
    <w:rsid w:val="000E774E"/>
    <w:rsid w:val="000F0F5C"/>
    <w:rsid w:val="000F2C55"/>
    <w:rsid w:val="000F3710"/>
    <w:rsid w:val="00104156"/>
    <w:rsid w:val="001222B9"/>
    <w:rsid w:val="00122817"/>
    <w:rsid w:val="0012453F"/>
    <w:rsid w:val="00125994"/>
    <w:rsid w:val="0013011B"/>
    <w:rsid w:val="00130BB8"/>
    <w:rsid w:val="00132FB8"/>
    <w:rsid w:val="00133481"/>
    <w:rsid w:val="00133B85"/>
    <w:rsid w:val="00137079"/>
    <w:rsid w:val="0014253C"/>
    <w:rsid w:val="00144353"/>
    <w:rsid w:val="00144A9D"/>
    <w:rsid w:val="00146223"/>
    <w:rsid w:val="00147F4C"/>
    <w:rsid w:val="00154177"/>
    <w:rsid w:val="0016158E"/>
    <w:rsid w:val="00172B11"/>
    <w:rsid w:val="001744B5"/>
    <w:rsid w:val="001826AC"/>
    <w:rsid w:val="00184256"/>
    <w:rsid w:val="001847E2"/>
    <w:rsid w:val="00184B50"/>
    <w:rsid w:val="00184EBC"/>
    <w:rsid w:val="00185E50"/>
    <w:rsid w:val="00192BB1"/>
    <w:rsid w:val="00192DE9"/>
    <w:rsid w:val="001938E9"/>
    <w:rsid w:val="00194774"/>
    <w:rsid w:val="00194E23"/>
    <w:rsid w:val="00196A0F"/>
    <w:rsid w:val="001A687E"/>
    <w:rsid w:val="001B01B0"/>
    <w:rsid w:val="001B268D"/>
    <w:rsid w:val="001B5F38"/>
    <w:rsid w:val="001B7F6A"/>
    <w:rsid w:val="001C06CC"/>
    <w:rsid w:val="001C4B88"/>
    <w:rsid w:val="001D1456"/>
    <w:rsid w:val="001D155B"/>
    <w:rsid w:val="001D433C"/>
    <w:rsid w:val="001D5489"/>
    <w:rsid w:val="001D650E"/>
    <w:rsid w:val="001D7071"/>
    <w:rsid w:val="001E1632"/>
    <w:rsid w:val="001E3114"/>
    <w:rsid w:val="001E556F"/>
    <w:rsid w:val="001E5C36"/>
    <w:rsid w:val="001F48BC"/>
    <w:rsid w:val="001F4F86"/>
    <w:rsid w:val="001F6594"/>
    <w:rsid w:val="00201A05"/>
    <w:rsid w:val="0020411A"/>
    <w:rsid w:val="002063B1"/>
    <w:rsid w:val="0021050E"/>
    <w:rsid w:val="002134E4"/>
    <w:rsid w:val="002150B3"/>
    <w:rsid w:val="00220210"/>
    <w:rsid w:val="0022366B"/>
    <w:rsid w:val="0022530C"/>
    <w:rsid w:val="00226071"/>
    <w:rsid w:val="00226A74"/>
    <w:rsid w:val="00226FC2"/>
    <w:rsid w:val="00230110"/>
    <w:rsid w:val="00234A04"/>
    <w:rsid w:val="0023690E"/>
    <w:rsid w:val="00240AE0"/>
    <w:rsid w:val="00242A93"/>
    <w:rsid w:val="00243997"/>
    <w:rsid w:val="002443A2"/>
    <w:rsid w:val="00245F64"/>
    <w:rsid w:val="00246899"/>
    <w:rsid w:val="00246E0E"/>
    <w:rsid w:val="00246EA3"/>
    <w:rsid w:val="002474C8"/>
    <w:rsid w:val="00247655"/>
    <w:rsid w:val="00250049"/>
    <w:rsid w:val="00251095"/>
    <w:rsid w:val="002529D7"/>
    <w:rsid w:val="002532D9"/>
    <w:rsid w:val="00255476"/>
    <w:rsid w:val="00255F82"/>
    <w:rsid w:val="00255FB8"/>
    <w:rsid w:val="00256630"/>
    <w:rsid w:val="00260F5E"/>
    <w:rsid w:val="00262E28"/>
    <w:rsid w:val="0026595D"/>
    <w:rsid w:val="00265D27"/>
    <w:rsid w:val="002660D0"/>
    <w:rsid w:val="00267BC0"/>
    <w:rsid w:val="00270E5A"/>
    <w:rsid w:val="002713E5"/>
    <w:rsid w:val="002715FB"/>
    <w:rsid w:val="002744AF"/>
    <w:rsid w:val="002764B2"/>
    <w:rsid w:val="00277199"/>
    <w:rsid w:val="00281F90"/>
    <w:rsid w:val="0028606A"/>
    <w:rsid w:val="00286857"/>
    <w:rsid w:val="0029094E"/>
    <w:rsid w:val="00291328"/>
    <w:rsid w:val="00293DB4"/>
    <w:rsid w:val="002A0A71"/>
    <w:rsid w:val="002A7A91"/>
    <w:rsid w:val="002B3E39"/>
    <w:rsid w:val="002B452F"/>
    <w:rsid w:val="002C131D"/>
    <w:rsid w:val="002C32A1"/>
    <w:rsid w:val="002C479A"/>
    <w:rsid w:val="002C54E6"/>
    <w:rsid w:val="002C6BBB"/>
    <w:rsid w:val="002C7068"/>
    <w:rsid w:val="002D076A"/>
    <w:rsid w:val="002D520F"/>
    <w:rsid w:val="002D61BC"/>
    <w:rsid w:val="002E66BF"/>
    <w:rsid w:val="002F374F"/>
    <w:rsid w:val="002F3F18"/>
    <w:rsid w:val="002F40AF"/>
    <w:rsid w:val="002F7041"/>
    <w:rsid w:val="002F7629"/>
    <w:rsid w:val="003023D2"/>
    <w:rsid w:val="00302D8E"/>
    <w:rsid w:val="0030434D"/>
    <w:rsid w:val="00305E32"/>
    <w:rsid w:val="00305ED0"/>
    <w:rsid w:val="0031002E"/>
    <w:rsid w:val="00310241"/>
    <w:rsid w:val="00312C21"/>
    <w:rsid w:val="003130F7"/>
    <w:rsid w:val="00315DC2"/>
    <w:rsid w:val="00317597"/>
    <w:rsid w:val="00324562"/>
    <w:rsid w:val="00327E86"/>
    <w:rsid w:val="00330317"/>
    <w:rsid w:val="00330607"/>
    <w:rsid w:val="00332697"/>
    <w:rsid w:val="00333B41"/>
    <w:rsid w:val="00340E61"/>
    <w:rsid w:val="00342456"/>
    <w:rsid w:val="003444E0"/>
    <w:rsid w:val="00347CFD"/>
    <w:rsid w:val="003503FB"/>
    <w:rsid w:val="00351538"/>
    <w:rsid w:val="0035230A"/>
    <w:rsid w:val="00352BC2"/>
    <w:rsid w:val="00365204"/>
    <w:rsid w:val="003663D2"/>
    <w:rsid w:val="003722FF"/>
    <w:rsid w:val="0037283C"/>
    <w:rsid w:val="00375E3A"/>
    <w:rsid w:val="00380ECE"/>
    <w:rsid w:val="00381839"/>
    <w:rsid w:val="003819B3"/>
    <w:rsid w:val="00382664"/>
    <w:rsid w:val="00383BAB"/>
    <w:rsid w:val="00384779"/>
    <w:rsid w:val="0039488F"/>
    <w:rsid w:val="00394DCA"/>
    <w:rsid w:val="00395008"/>
    <w:rsid w:val="00395C3A"/>
    <w:rsid w:val="003A10ED"/>
    <w:rsid w:val="003A34AF"/>
    <w:rsid w:val="003B39D0"/>
    <w:rsid w:val="003C2F63"/>
    <w:rsid w:val="003C4730"/>
    <w:rsid w:val="003D4F71"/>
    <w:rsid w:val="003D6081"/>
    <w:rsid w:val="003D638E"/>
    <w:rsid w:val="003D7292"/>
    <w:rsid w:val="003D7905"/>
    <w:rsid w:val="003D7922"/>
    <w:rsid w:val="003E0F34"/>
    <w:rsid w:val="003E1FDD"/>
    <w:rsid w:val="003E2C82"/>
    <w:rsid w:val="003F235A"/>
    <w:rsid w:val="0040017D"/>
    <w:rsid w:val="00400C0B"/>
    <w:rsid w:val="004046B8"/>
    <w:rsid w:val="00404C50"/>
    <w:rsid w:val="00411223"/>
    <w:rsid w:val="0041199E"/>
    <w:rsid w:val="00412592"/>
    <w:rsid w:val="00413375"/>
    <w:rsid w:val="00413494"/>
    <w:rsid w:val="0042045C"/>
    <w:rsid w:val="0042052E"/>
    <w:rsid w:val="00420BAA"/>
    <w:rsid w:val="004213B5"/>
    <w:rsid w:val="00422374"/>
    <w:rsid w:val="00422456"/>
    <w:rsid w:val="0042306E"/>
    <w:rsid w:val="00423AD4"/>
    <w:rsid w:val="004260B2"/>
    <w:rsid w:val="00427866"/>
    <w:rsid w:val="0043322B"/>
    <w:rsid w:val="004361DE"/>
    <w:rsid w:val="00440812"/>
    <w:rsid w:val="00441B9D"/>
    <w:rsid w:val="00441BA1"/>
    <w:rsid w:val="00445DD4"/>
    <w:rsid w:val="00446722"/>
    <w:rsid w:val="00447CC1"/>
    <w:rsid w:val="00453B39"/>
    <w:rsid w:val="004546B5"/>
    <w:rsid w:val="0046164A"/>
    <w:rsid w:val="00462425"/>
    <w:rsid w:val="004644CC"/>
    <w:rsid w:val="004647A0"/>
    <w:rsid w:val="00475543"/>
    <w:rsid w:val="00475A4A"/>
    <w:rsid w:val="00476D02"/>
    <w:rsid w:val="00480194"/>
    <w:rsid w:val="00485C3B"/>
    <w:rsid w:val="00487ECC"/>
    <w:rsid w:val="004932F0"/>
    <w:rsid w:val="004939DC"/>
    <w:rsid w:val="00493C19"/>
    <w:rsid w:val="00495ACD"/>
    <w:rsid w:val="00495D73"/>
    <w:rsid w:val="004A1D2F"/>
    <w:rsid w:val="004A4F23"/>
    <w:rsid w:val="004B0AAB"/>
    <w:rsid w:val="004B2332"/>
    <w:rsid w:val="004B7469"/>
    <w:rsid w:val="004C2A2D"/>
    <w:rsid w:val="004C7A2E"/>
    <w:rsid w:val="004D060E"/>
    <w:rsid w:val="004D60AB"/>
    <w:rsid w:val="004E1753"/>
    <w:rsid w:val="004E18F2"/>
    <w:rsid w:val="004E67DF"/>
    <w:rsid w:val="004E6899"/>
    <w:rsid w:val="004E7016"/>
    <w:rsid w:val="004E70B7"/>
    <w:rsid w:val="004F7505"/>
    <w:rsid w:val="004F773B"/>
    <w:rsid w:val="005002D0"/>
    <w:rsid w:val="00500D6C"/>
    <w:rsid w:val="00501751"/>
    <w:rsid w:val="00502F54"/>
    <w:rsid w:val="00504763"/>
    <w:rsid w:val="00504C2E"/>
    <w:rsid w:val="00506B99"/>
    <w:rsid w:val="005073B6"/>
    <w:rsid w:val="0051017A"/>
    <w:rsid w:val="0051518C"/>
    <w:rsid w:val="00515300"/>
    <w:rsid w:val="00515BB7"/>
    <w:rsid w:val="00517E40"/>
    <w:rsid w:val="00517F9F"/>
    <w:rsid w:val="005210A0"/>
    <w:rsid w:val="00524716"/>
    <w:rsid w:val="00524A6F"/>
    <w:rsid w:val="0052796E"/>
    <w:rsid w:val="00533BA7"/>
    <w:rsid w:val="00537BC0"/>
    <w:rsid w:val="005425ED"/>
    <w:rsid w:val="00542AE4"/>
    <w:rsid w:val="0054411E"/>
    <w:rsid w:val="00544B1D"/>
    <w:rsid w:val="0054540A"/>
    <w:rsid w:val="00545BA2"/>
    <w:rsid w:val="00547247"/>
    <w:rsid w:val="005514C6"/>
    <w:rsid w:val="00554C5F"/>
    <w:rsid w:val="00556E37"/>
    <w:rsid w:val="005615DB"/>
    <w:rsid w:val="00562801"/>
    <w:rsid w:val="00566A3E"/>
    <w:rsid w:val="00567445"/>
    <w:rsid w:val="00570075"/>
    <w:rsid w:val="005700E2"/>
    <w:rsid w:val="0057059E"/>
    <w:rsid w:val="005716FF"/>
    <w:rsid w:val="00572597"/>
    <w:rsid w:val="00575D5F"/>
    <w:rsid w:val="00580C70"/>
    <w:rsid w:val="00581ED1"/>
    <w:rsid w:val="0058372C"/>
    <w:rsid w:val="00583BC1"/>
    <w:rsid w:val="00584C25"/>
    <w:rsid w:val="00586182"/>
    <w:rsid w:val="00587583"/>
    <w:rsid w:val="00587EEE"/>
    <w:rsid w:val="00591C6E"/>
    <w:rsid w:val="0059322E"/>
    <w:rsid w:val="00593A77"/>
    <w:rsid w:val="00594F31"/>
    <w:rsid w:val="00595396"/>
    <w:rsid w:val="005976C7"/>
    <w:rsid w:val="005A32C3"/>
    <w:rsid w:val="005A32EB"/>
    <w:rsid w:val="005A3421"/>
    <w:rsid w:val="005A66ED"/>
    <w:rsid w:val="005A6E4D"/>
    <w:rsid w:val="005B1425"/>
    <w:rsid w:val="005B3D66"/>
    <w:rsid w:val="005B51AB"/>
    <w:rsid w:val="005B5C9F"/>
    <w:rsid w:val="005B78F5"/>
    <w:rsid w:val="005B7AB7"/>
    <w:rsid w:val="005C2068"/>
    <w:rsid w:val="005C2F0B"/>
    <w:rsid w:val="005C4D3B"/>
    <w:rsid w:val="005C5488"/>
    <w:rsid w:val="005D25CF"/>
    <w:rsid w:val="005D38B7"/>
    <w:rsid w:val="005D4C00"/>
    <w:rsid w:val="005D7931"/>
    <w:rsid w:val="005E5231"/>
    <w:rsid w:val="005E5DDE"/>
    <w:rsid w:val="005F1E2A"/>
    <w:rsid w:val="005F5FD3"/>
    <w:rsid w:val="005F6C4E"/>
    <w:rsid w:val="005F77DD"/>
    <w:rsid w:val="00600336"/>
    <w:rsid w:val="006005CD"/>
    <w:rsid w:val="00600D5B"/>
    <w:rsid w:val="006030A9"/>
    <w:rsid w:val="00604F93"/>
    <w:rsid w:val="00612D44"/>
    <w:rsid w:val="00614349"/>
    <w:rsid w:val="00622547"/>
    <w:rsid w:val="00622E5F"/>
    <w:rsid w:val="00624EE0"/>
    <w:rsid w:val="0063497E"/>
    <w:rsid w:val="006351C2"/>
    <w:rsid w:val="006364C5"/>
    <w:rsid w:val="00636536"/>
    <w:rsid w:val="0063653F"/>
    <w:rsid w:val="0064086E"/>
    <w:rsid w:val="00644261"/>
    <w:rsid w:val="00645460"/>
    <w:rsid w:val="0064733F"/>
    <w:rsid w:val="00647E0C"/>
    <w:rsid w:val="006508B8"/>
    <w:rsid w:val="00651C58"/>
    <w:rsid w:val="00652E92"/>
    <w:rsid w:val="006533D4"/>
    <w:rsid w:val="0066044C"/>
    <w:rsid w:val="00661A54"/>
    <w:rsid w:val="00661F67"/>
    <w:rsid w:val="00663027"/>
    <w:rsid w:val="00666A12"/>
    <w:rsid w:val="00672BCA"/>
    <w:rsid w:val="00673A62"/>
    <w:rsid w:val="00681A31"/>
    <w:rsid w:val="00682769"/>
    <w:rsid w:val="00683487"/>
    <w:rsid w:val="006852F0"/>
    <w:rsid w:val="006855E8"/>
    <w:rsid w:val="00686B20"/>
    <w:rsid w:val="00691909"/>
    <w:rsid w:val="0069585B"/>
    <w:rsid w:val="00695EA4"/>
    <w:rsid w:val="006A0E2C"/>
    <w:rsid w:val="006A2DD8"/>
    <w:rsid w:val="006A624D"/>
    <w:rsid w:val="006B0A1F"/>
    <w:rsid w:val="006B3849"/>
    <w:rsid w:val="006B6BBC"/>
    <w:rsid w:val="006C142C"/>
    <w:rsid w:val="006C2682"/>
    <w:rsid w:val="006C4AF6"/>
    <w:rsid w:val="006C6E24"/>
    <w:rsid w:val="006C76D2"/>
    <w:rsid w:val="006D29DA"/>
    <w:rsid w:val="006D63DA"/>
    <w:rsid w:val="006D6C65"/>
    <w:rsid w:val="006E4308"/>
    <w:rsid w:val="006E4943"/>
    <w:rsid w:val="006F4E29"/>
    <w:rsid w:val="007023E8"/>
    <w:rsid w:val="00703CDD"/>
    <w:rsid w:val="00704E76"/>
    <w:rsid w:val="00706435"/>
    <w:rsid w:val="00711E8C"/>
    <w:rsid w:val="00711EC8"/>
    <w:rsid w:val="00714DE7"/>
    <w:rsid w:val="00715C1C"/>
    <w:rsid w:val="007176DA"/>
    <w:rsid w:val="0072713C"/>
    <w:rsid w:val="00732504"/>
    <w:rsid w:val="00732780"/>
    <w:rsid w:val="007332D1"/>
    <w:rsid w:val="00736827"/>
    <w:rsid w:val="00737A9C"/>
    <w:rsid w:val="0074210D"/>
    <w:rsid w:val="00742ECE"/>
    <w:rsid w:val="0074664F"/>
    <w:rsid w:val="007506FF"/>
    <w:rsid w:val="00750A5F"/>
    <w:rsid w:val="00750C2B"/>
    <w:rsid w:val="007510DB"/>
    <w:rsid w:val="00751167"/>
    <w:rsid w:val="0075672C"/>
    <w:rsid w:val="007608A6"/>
    <w:rsid w:val="00762128"/>
    <w:rsid w:val="00762F49"/>
    <w:rsid w:val="00764585"/>
    <w:rsid w:val="00765A0E"/>
    <w:rsid w:val="00766B42"/>
    <w:rsid w:val="00771586"/>
    <w:rsid w:val="007730F3"/>
    <w:rsid w:val="00774F92"/>
    <w:rsid w:val="0077611C"/>
    <w:rsid w:val="00776834"/>
    <w:rsid w:val="00777543"/>
    <w:rsid w:val="00777AAD"/>
    <w:rsid w:val="007829BF"/>
    <w:rsid w:val="00782B5C"/>
    <w:rsid w:val="00784547"/>
    <w:rsid w:val="0079271C"/>
    <w:rsid w:val="007960F5"/>
    <w:rsid w:val="0079720A"/>
    <w:rsid w:val="007A061C"/>
    <w:rsid w:val="007A5097"/>
    <w:rsid w:val="007A7D6E"/>
    <w:rsid w:val="007B15F7"/>
    <w:rsid w:val="007B31A3"/>
    <w:rsid w:val="007B5400"/>
    <w:rsid w:val="007B59BB"/>
    <w:rsid w:val="007B65A8"/>
    <w:rsid w:val="007C01C5"/>
    <w:rsid w:val="007C0B02"/>
    <w:rsid w:val="007C24EF"/>
    <w:rsid w:val="007D3AB3"/>
    <w:rsid w:val="007E09D7"/>
    <w:rsid w:val="007E3875"/>
    <w:rsid w:val="007E4056"/>
    <w:rsid w:val="007E4319"/>
    <w:rsid w:val="007E4350"/>
    <w:rsid w:val="007E7CE1"/>
    <w:rsid w:val="0080011A"/>
    <w:rsid w:val="008014F2"/>
    <w:rsid w:val="008038E7"/>
    <w:rsid w:val="0080417A"/>
    <w:rsid w:val="00810EF2"/>
    <w:rsid w:val="008153F5"/>
    <w:rsid w:val="00817A4D"/>
    <w:rsid w:val="00820B7A"/>
    <w:rsid w:val="0082416E"/>
    <w:rsid w:val="0082441D"/>
    <w:rsid w:val="008244F0"/>
    <w:rsid w:val="008259FF"/>
    <w:rsid w:val="0082605D"/>
    <w:rsid w:val="008310E9"/>
    <w:rsid w:val="00837E87"/>
    <w:rsid w:val="0084141A"/>
    <w:rsid w:val="008470B3"/>
    <w:rsid w:val="00847FF1"/>
    <w:rsid w:val="00850476"/>
    <w:rsid w:val="00855C22"/>
    <w:rsid w:val="00856175"/>
    <w:rsid w:val="00862D2D"/>
    <w:rsid w:val="0086507E"/>
    <w:rsid w:val="00866222"/>
    <w:rsid w:val="008713AC"/>
    <w:rsid w:val="008714F4"/>
    <w:rsid w:val="008716ED"/>
    <w:rsid w:val="008731CD"/>
    <w:rsid w:val="00874152"/>
    <w:rsid w:val="008756E5"/>
    <w:rsid w:val="00882711"/>
    <w:rsid w:val="008831ED"/>
    <w:rsid w:val="00885A49"/>
    <w:rsid w:val="00886F8E"/>
    <w:rsid w:val="008913C9"/>
    <w:rsid w:val="008933FF"/>
    <w:rsid w:val="00893917"/>
    <w:rsid w:val="00896002"/>
    <w:rsid w:val="00896CFC"/>
    <w:rsid w:val="00897E95"/>
    <w:rsid w:val="008A19B5"/>
    <w:rsid w:val="008A3845"/>
    <w:rsid w:val="008A3DED"/>
    <w:rsid w:val="008A49DF"/>
    <w:rsid w:val="008A4BFE"/>
    <w:rsid w:val="008A5209"/>
    <w:rsid w:val="008A5601"/>
    <w:rsid w:val="008A5809"/>
    <w:rsid w:val="008B3295"/>
    <w:rsid w:val="008B356E"/>
    <w:rsid w:val="008B3F87"/>
    <w:rsid w:val="008B4DF0"/>
    <w:rsid w:val="008B7864"/>
    <w:rsid w:val="008C1F17"/>
    <w:rsid w:val="008C285E"/>
    <w:rsid w:val="008C3429"/>
    <w:rsid w:val="008C620B"/>
    <w:rsid w:val="008C67F5"/>
    <w:rsid w:val="008C76C2"/>
    <w:rsid w:val="008C7FC3"/>
    <w:rsid w:val="008D1689"/>
    <w:rsid w:val="008D3BBC"/>
    <w:rsid w:val="008D4793"/>
    <w:rsid w:val="008D6D39"/>
    <w:rsid w:val="008E0025"/>
    <w:rsid w:val="008E1ED5"/>
    <w:rsid w:val="008E2A17"/>
    <w:rsid w:val="008F3296"/>
    <w:rsid w:val="008F3A4B"/>
    <w:rsid w:val="008F4077"/>
    <w:rsid w:val="008F48FE"/>
    <w:rsid w:val="00901FDB"/>
    <w:rsid w:val="0090517C"/>
    <w:rsid w:val="00907097"/>
    <w:rsid w:val="00912CE3"/>
    <w:rsid w:val="0092348D"/>
    <w:rsid w:val="00924248"/>
    <w:rsid w:val="009263DD"/>
    <w:rsid w:val="00927412"/>
    <w:rsid w:val="0093088E"/>
    <w:rsid w:val="0094390E"/>
    <w:rsid w:val="009501A5"/>
    <w:rsid w:val="00950705"/>
    <w:rsid w:val="009547A0"/>
    <w:rsid w:val="00960BB5"/>
    <w:rsid w:val="00960F82"/>
    <w:rsid w:val="00963BB1"/>
    <w:rsid w:val="00965A66"/>
    <w:rsid w:val="009662CD"/>
    <w:rsid w:val="00967FBF"/>
    <w:rsid w:val="00971C63"/>
    <w:rsid w:val="009736C7"/>
    <w:rsid w:val="00974415"/>
    <w:rsid w:val="00983846"/>
    <w:rsid w:val="0098466A"/>
    <w:rsid w:val="00985BA7"/>
    <w:rsid w:val="0098611B"/>
    <w:rsid w:val="00987BE1"/>
    <w:rsid w:val="00993BF3"/>
    <w:rsid w:val="00996993"/>
    <w:rsid w:val="00996E44"/>
    <w:rsid w:val="009A302D"/>
    <w:rsid w:val="009A4843"/>
    <w:rsid w:val="009A4945"/>
    <w:rsid w:val="009A5982"/>
    <w:rsid w:val="009A6CF4"/>
    <w:rsid w:val="009A7130"/>
    <w:rsid w:val="009B22E1"/>
    <w:rsid w:val="009B5FAA"/>
    <w:rsid w:val="009B7956"/>
    <w:rsid w:val="009C0CDD"/>
    <w:rsid w:val="009C2F5F"/>
    <w:rsid w:val="009C4841"/>
    <w:rsid w:val="009D3B13"/>
    <w:rsid w:val="009D4FD8"/>
    <w:rsid w:val="009D7B41"/>
    <w:rsid w:val="009E0ABE"/>
    <w:rsid w:val="00A01C80"/>
    <w:rsid w:val="00A05819"/>
    <w:rsid w:val="00A12CC8"/>
    <w:rsid w:val="00A17B12"/>
    <w:rsid w:val="00A20EEE"/>
    <w:rsid w:val="00A224B1"/>
    <w:rsid w:val="00A2687D"/>
    <w:rsid w:val="00A27253"/>
    <w:rsid w:val="00A32E3D"/>
    <w:rsid w:val="00A40CB2"/>
    <w:rsid w:val="00A40EA5"/>
    <w:rsid w:val="00A446E0"/>
    <w:rsid w:val="00A5091C"/>
    <w:rsid w:val="00A5340A"/>
    <w:rsid w:val="00A540C8"/>
    <w:rsid w:val="00A5421D"/>
    <w:rsid w:val="00A5472F"/>
    <w:rsid w:val="00A54F8E"/>
    <w:rsid w:val="00A562B1"/>
    <w:rsid w:val="00A5790D"/>
    <w:rsid w:val="00A57AA9"/>
    <w:rsid w:val="00A70FF6"/>
    <w:rsid w:val="00A719CD"/>
    <w:rsid w:val="00A7577B"/>
    <w:rsid w:val="00A7770C"/>
    <w:rsid w:val="00A778BE"/>
    <w:rsid w:val="00A8169E"/>
    <w:rsid w:val="00A850A7"/>
    <w:rsid w:val="00A856E2"/>
    <w:rsid w:val="00A87797"/>
    <w:rsid w:val="00A90568"/>
    <w:rsid w:val="00A93498"/>
    <w:rsid w:val="00A94384"/>
    <w:rsid w:val="00A95306"/>
    <w:rsid w:val="00A95941"/>
    <w:rsid w:val="00A95B37"/>
    <w:rsid w:val="00A95D0F"/>
    <w:rsid w:val="00A97AA3"/>
    <w:rsid w:val="00A97E69"/>
    <w:rsid w:val="00AA33E6"/>
    <w:rsid w:val="00AA436F"/>
    <w:rsid w:val="00AA67F2"/>
    <w:rsid w:val="00AA75A7"/>
    <w:rsid w:val="00AB097A"/>
    <w:rsid w:val="00AB1C7F"/>
    <w:rsid w:val="00AB3A5E"/>
    <w:rsid w:val="00AB4E82"/>
    <w:rsid w:val="00AB5E2F"/>
    <w:rsid w:val="00AB65F6"/>
    <w:rsid w:val="00AB776F"/>
    <w:rsid w:val="00AC31A9"/>
    <w:rsid w:val="00AC339F"/>
    <w:rsid w:val="00AC56AD"/>
    <w:rsid w:val="00AC5EF5"/>
    <w:rsid w:val="00AD5D12"/>
    <w:rsid w:val="00AD7D2B"/>
    <w:rsid w:val="00AE1AF0"/>
    <w:rsid w:val="00AE1E3C"/>
    <w:rsid w:val="00AF26FD"/>
    <w:rsid w:val="00AF7DBA"/>
    <w:rsid w:val="00B002F2"/>
    <w:rsid w:val="00B066AF"/>
    <w:rsid w:val="00B10BCE"/>
    <w:rsid w:val="00B11094"/>
    <w:rsid w:val="00B11EC6"/>
    <w:rsid w:val="00B12C64"/>
    <w:rsid w:val="00B20EC2"/>
    <w:rsid w:val="00B277A6"/>
    <w:rsid w:val="00B33415"/>
    <w:rsid w:val="00B34EA0"/>
    <w:rsid w:val="00B35590"/>
    <w:rsid w:val="00B35D21"/>
    <w:rsid w:val="00B3668D"/>
    <w:rsid w:val="00B37664"/>
    <w:rsid w:val="00B418F2"/>
    <w:rsid w:val="00B47C09"/>
    <w:rsid w:val="00B53095"/>
    <w:rsid w:val="00B55547"/>
    <w:rsid w:val="00B617AA"/>
    <w:rsid w:val="00B61A39"/>
    <w:rsid w:val="00B7446F"/>
    <w:rsid w:val="00B7612B"/>
    <w:rsid w:val="00B808D8"/>
    <w:rsid w:val="00B80B71"/>
    <w:rsid w:val="00B82FCC"/>
    <w:rsid w:val="00B83D49"/>
    <w:rsid w:val="00B84EE7"/>
    <w:rsid w:val="00B913DB"/>
    <w:rsid w:val="00B920B5"/>
    <w:rsid w:val="00BA2F95"/>
    <w:rsid w:val="00BA5738"/>
    <w:rsid w:val="00BB11BB"/>
    <w:rsid w:val="00BB3802"/>
    <w:rsid w:val="00BB38C8"/>
    <w:rsid w:val="00BB5908"/>
    <w:rsid w:val="00BC0CDF"/>
    <w:rsid w:val="00BC1AB6"/>
    <w:rsid w:val="00BC1D22"/>
    <w:rsid w:val="00BC33EE"/>
    <w:rsid w:val="00BD0CAF"/>
    <w:rsid w:val="00BD2014"/>
    <w:rsid w:val="00BD2377"/>
    <w:rsid w:val="00BD27E3"/>
    <w:rsid w:val="00BD4198"/>
    <w:rsid w:val="00BD5DC6"/>
    <w:rsid w:val="00BD67E4"/>
    <w:rsid w:val="00BE0131"/>
    <w:rsid w:val="00BE4B32"/>
    <w:rsid w:val="00BE6CE5"/>
    <w:rsid w:val="00BF1CCC"/>
    <w:rsid w:val="00BF4FB0"/>
    <w:rsid w:val="00BF6E4C"/>
    <w:rsid w:val="00C01BCD"/>
    <w:rsid w:val="00C02434"/>
    <w:rsid w:val="00C073CA"/>
    <w:rsid w:val="00C11D10"/>
    <w:rsid w:val="00C11E63"/>
    <w:rsid w:val="00C123D3"/>
    <w:rsid w:val="00C12871"/>
    <w:rsid w:val="00C15C9C"/>
    <w:rsid w:val="00C21879"/>
    <w:rsid w:val="00C23B67"/>
    <w:rsid w:val="00C241F7"/>
    <w:rsid w:val="00C2464D"/>
    <w:rsid w:val="00C250F9"/>
    <w:rsid w:val="00C256C2"/>
    <w:rsid w:val="00C326FB"/>
    <w:rsid w:val="00C40653"/>
    <w:rsid w:val="00C42523"/>
    <w:rsid w:val="00C479ED"/>
    <w:rsid w:val="00C50C82"/>
    <w:rsid w:val="00C51774"/>
    <w:rsid w:val="00C51F17"/>
    <w:rsid w:val="00C5529D"/>
    <w:rsid w:val="00C67A59"/>
    <w:rsid w:val="00C7151B"/>
    <w:rsid w:val="00C7176E"/>
    <w:rsid w:val="00C7188F"/>
    <w:rsid w:val="00C74028"/>
    <w:rsid w:val="00C8259C"/>
    <w:rsid w:val="00C85104"/>
    <w:rsid w:val="00C90888"/>
    <w:rsid w:val="00C91C9B"/>
    <w:rsid w:val="00C93FB4"/>
    <w:rsid w:val="00C96412"/>
    <w:rsid w:val="00CA5D82"/>
    <w:rsid w:val="00CA74F6"/>
    <w:rsid w:val="00CB2771"/>
    <w:rsid w:val="00CB6155"/>
    <w:rsid w:val="00CB7A9C"/>
    <w:rsid w:val="00CC4D62"/>
    <w:rsid w:val="00CD35BB"/>
    <w:rsid w:val="00CD41BA"/>
    <w:rsid w:val="00CD78DD"/>
    <w:rsid w:val="00CE14BE"/>
    <w:rsid w:val="00CE1A51"/>
    <w:rsid w:val="00CE2846"/>
    <w:rsid w:val="00CE5CAF"/>
    <w:rsid w:val="00CE6AA6"/>
    <w:rsid w:val="00CF3360"/>
    <w:rsid w:val="00CF3B31"/>
    <w:rsid w:val="00CF46B3"/>
    <w:rsid w:val="00CF5580"/>
    <w:rsid w:val="00CF68C6"/>
    <w:rsid w:val="00CF6AC6"/>
    <w:rsid w:val="00CF76C9"/>
    <w:rsid w:val="00CF7BB6"/>
    <w:rsid w:val="00D00A4C"/>
    <w:rsid w:val="00D05321"/>
    <w:rsid w:val="00D0558E"/>
    <w:rsid w:val="00D05860"/>
    <w:rsid w:val="00D05F0C"/>
    <w:rsid w:val="00D11A68"/>
    <w:rsid w:val="00D12134"/>
    <w:rsid w:val="00D133AB"/>
    <w:rsid w:val="00D151AF"/>
    <w:rsid w:val="00D15722"/>
    <w:rsid w:val="00D21953"/>
    <w:rsid w:val="00D26BE6"/>
    <w:rsid w:val="00D27CD6"/>
    <w:rsid w:val="00D303BA"/>
    <w:rsid w:val="00D30B83"/>
    <w:rsid w:val="00D30DA5"/>
    <w:rsid w:val="00D33A04"/>
    <w:rsid w:val="00D5063B"/>
    <w:rsid w:val="00D50640"/>
    <w:rsid w:val="00D51A2D"/>
    <w:rsid w:val="00D56A1F"/>
    <w:rsid w:val="00D60376"/>
    <w:rsid w:val="00D619B9"/>
    <w:rsid w:val="00D61DCD"/>
    <w:rsid w:val="00D64607"/>
    <w:rsid w:val="00D720E1"/>
    <w:rsid w:val="00D735D6"/>
    <w:rsid w:val="00D76846"/>
    <w:rsid w:val="00D76871"/>
    <w:rsid w:val="00D76AF1"/>
    <w:rsid w:val="00D80341"/>
    <w:rsid w:val="00D83E91"/>
    <w:rsid w:val="00D84D5E"/>
    <w:rsid w:val="00D92448"/>
    <w:rsid w:val="00D93CD4"/>
    <w:rsid w:val="00D94B90"/>
    <w:rsid w:val="00DA233F"/>
    <w:rsid w:val="00DA6BCB"/>
    <w:rsid w:val="00DA7A66"/>
    <w:rsid w:val="00DB3534"/>
    <w:rsid w:val="00DB7916"/>
    <w:rsid w:val="00DC48F6"/>
    <w:rsid w:val="00DC52F1"/>
    <w:rsid w:val="00DC71B1"/>
    <w:rsid w:val="00DD1177"/>
    <w:rsid w:val="00DD19A4"/>
    <w:rsid w:val="00DD4E3E"/>
    <w:rsid w:val="00DD549F"/>
    <w:rsid w:val="00DD6162"/>
    <w:rsid w:val="00DE2272"/>
    <w:rsid w:val="00DE2B2F"/>
    <w:rsid w:val="00DE3DD2"/>
    <w:rsid w:val="00DE48F5"/>
    <w:rsid w:val="00DE4A97"/>
    <w:rsid w:val="00DE4DB6"/>
    <w:rsid w:val="00DE72CF"/>
    <w:rsid w:val="00DF563C"/>
    <w:rsid w:val="00E10077"/>
    <w:rsid w:val="00E111F5"/>
    <w:rsid w:val="00E129A0"/>
    <w:rsid w:val="00E14D61"/>
    <w:rsid w:val="00E15612"/>
    <w:rsid w:val="00E15E32"/>
    <w:rsid w:val="00E24033"/>
    <w:rsid w:val="00E321A6"/>
    <w:rsid w:val="00E33448"/>
    <w:rsid w:val="00E34F0E"/>
    <w:rsid w:val="00E37936"/>
    <w:rsid w:val="00E37DEA"/>
    <w:rsid w:val="00E4132A"/>
    <w:rsid w:val="00E43797"/>
    <w:rsid w:val="00E44730"/>
    <w:rsid w:val="00E47F4F"/>
    <w:rsid w:val="00E50930"/>
    <w:rsid w:val="00E56F2B"/>
    <w:rsid w:val="00E57843"/>
    <w:rsid w:val="00E602A6"/>
    <w:rsid w:val="00E60586"/>
    <w:rsid w:val="00E65244"/>
    <w:rsid w:val="00E655C0"/>
    <w:rsid w:val="00E70060"/>
    <w:rsid w:val="00E71088"/>
    <w:rsid w:val="00E735A7"/>
    <w:rsid w:val="00E762A0"/>
    <w:rsid w:val="00E81050"/>
    <w:rsid w:val="00E86C14"/>
    <w:rsid w:val="00E90914"/>
    <w:rsid w:val="00E90E96"/>
    <w:rsid w:val="00E91044"/>
    <w:rsid w:val="00E91AA5"/>
    <w:rsid w:val="00E93151"/>
    <w:rsid w:val="00E9388B"/>
    <w:rsid w:val="00E93DFC"/>
    <w:rsid w:val="00E94079"/>
    <w:rsid w:val="00E94C1F"/>
    <w:rsid w:val="00E97012"/>
    <w:rsid w:val="00E972C6"/>
    <w:rsid w:val="00EA0067"/>
    <w:rsid w:val="00EA06CD"/>
    <w:rsid w:val="00EA0C03"/>
    <w:rsid w:val="00EA10A0"/>
    <w:rsid w:val="00EA1C68"/>
    <w:rsid w:val="00EA263B"/>
    <w:rsid w:val="00EB578D"/>
    <w:rsid w:val="00EB5FEE"/>
    <w:rsid w:val="00EB7064"/>
    <w:rsid w:val="00EB7268"/>
    <w:rsid w:val="00EB7331"/>
    <w:rsid w:val="00EC1029"/>
    <w:rsid w:val="00EC24B8"/>
    <w:rsid w:val="00EC309F"/>
    <w:rsid w:val="00EC4694"/>
    <w:rsid w:val="00EC632E"/>
    <w:rsid w:val="00ED0932"/>
    <w:rsid w:val="00ED5216"/>
    <w:rsid w:val="00ED7742"/>
    <w:rsid w:val="00EE5466"/>
    <w:rsid w:val="00EF0004"/>
    <w:rsid w:val="00EF0844"/>
    <w:rsid w:val="00EF424C"/>
    <w:rsid w:val="00EF583C"/>
    <w:rsid w:val="00EF5D7E"/>
    <w:rsid w:val="00EF7AE2"/>
    <w:rsid w:val="00F048C4"/>
    <w:rsid w:val="00F04F84"/>
    <w:rsid w:val="00F075E9"/>
    <w:rsid w:val="00F11BC5"/>
    <w:rsid w:val="00F12762"/>
    <w:rsid w:val="00F1507D"/>
    <w:rsid w:val="00F2087A"/>
    <w:rsid w:val="00F214A7"/>
    <w:rsid w:val="00F25271"/>
    <w:rsid w:val="00F2703F"/>
    <w:rsid w:val="00F31EDC"/>
    <w:rsid w:val="00F35DCE"/>
    <w:rsid w:val="00F35E21"/>
    <w:rsid w:val="00F368DD"/>
    <w:rsid w:val="00F37C6F"/>
    <w:rsid w:val="00F4066A"/>
    <w:rsid w:val="00F42E99"/>
    <w:rsid w:val="00F43128"/>
    <w:rsid w:val="00F44226"/>
    <w:rsid w:val="00F45EE5"/>
    <w:rsid w:val="00F46A08"/>
    <w:rsid w:val="00F50FA5"/>
    <w:rsid w:val="00F53FA3"/>
    <w:rsid w:val="00F57EEF"/>
    <w:rsid w:val="00F6188A"/>
    <w:rsid w:val="00F61E6E"/>
    <w:rsid w:val="00F659AA"/>
    <w:rsid w:val="00F65BA7"/>
    <w:rsid w:val="00F6606A"/>
    <w:rsid w:val="00F70F1C"/>
    <w:rsid w:val="00F728EB"/>
    <w:rsid w:val="00F752A4"/>
    <w:rsid w:val="00F75902"/>
    <w:rsid w:val="00F76E96"/>
    <w:rsid w:val="00F772FD"/>
    <w:rsid w:val="00F82B09"/>
    <w:rsid w:val="00F8317B"/>
    <w:rsid w:val="00F835BB"/>
    <w:rsid w:val="00F860C4"/>
    <w:rsid w:val="00F8727A"/>
    <w:rsid w:val="00F877DA"/>
    <w:rsid w:val="00F877F9"/>
    <w:rsid w:val="00F927A4"/>
    <w:rsid w:val="00F93439"/>
    <w:rsid w:val="00F9482F"/>
    <w:rsid w:val="00F95946"/>
    <w:rsid w:val="00FA02C9"/>
    <w:rsid w:val="00FA098C"/>
    <w:rsid w:val="00FA3187"/>
    <w:rsid w:val="00FA4DFA"/>
    <w:rsid w:val="00FB1D67"/>
    <w:rsid w:val="00FB6D25"/>
    <w:rsid w:val="00FC0A25"/>
    <w:rsid w:val="00FC3278"/>
    <w:rsid w:val="00FC3D2C"/>
    <w:rsid w:val="00FC5F46"/>
    <w:rsid w:val="00FD0921"/>
    <w:rsid w:val="00FD0BA1"/>
    <w:rsid w:val="00FD2F4D"/>
    <w:rsid w:val="00FD7FB6"/>
    <w:rsid w:val="00FD7FC1"/>
    <w:rsid w:val="00FE1E6E"/>
    <w:rsid w:val="00FE36B1"/>
    <w:rsid w:val="00FE707C"/>
    <w:rsid w:val="00FF0E07"/>
    <w:rsid w:val="00FF2E2A"/>
    <w:rsid w:val="00FF3E38"/>
    <w:rsid w:val="00FF5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cf"/>
    </o:shapedefaults>
    <o:shapelayout v:ext="edit">
      <o:idmap v:ext="edit" data="1"/>
    </o:shapelayout>
  </w:shapeDefaults>
  <w:decimalSymbol w:val=","/>
  <w:listSeparator w:val=";"/>
  <w14:docId w14:val="0434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549F"/>
    <w:rPr>
      <w:sz w:val="24"/>
      <w:szCs w:val="24"/>
      <w:lang w:val="en-GB" w:eastAsia="de-DE"/>
    </w:rPr>
  </w:style>
  <w:style w:type="paragraph" w:styleId="Titolo1">
    <w:name w:val="heading 1"/>
    <w:basedOn w:val="Normale"/>
    <w:next w:val="Normale"/>
    <w:qFormat/>
    <w:rsid w:val="00DD549F"/>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D549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D549F"/>
    <w:pPr>
      <w:keepNext/>
      <w:outlineLvl w:val="2"/>
    </w:pPr>
    <w:rPr>
      <w:rFonts w:ascii="Arial" w:hAnsi="Arial" w:cs="Arial"/>
      <w:b/>
      <w:bCs/>
      <w:lang w:eastAsia="en-US"/>
    </w:rPr>
  </w:style>
  <w:style w:type="paragraph" w:styleId="Titolo5">
    <w:name w:val="heading 5"/>
    <w:basedOn w:val="Normale"/>
    <w:next w:val="Normale"/>
    <w:qFormat/>
    <w:rsid w:val="00DD549F"/>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DD549F"/>
    <w:rPr>
      <w:sz w:val="20"/>
    </w:rPr>
  </w:style>
  <w:style w:type="paragraph" w:styleId="Intestazione">
    <w:name w:val="header"/>
    <w:basedOn w:val="Normale"/>
    <w:rsid w:val="00DD549F"/>
    <w:pPr>
      <w:tabs>
        <w:tab w:val="center" w:pos="4320"/>
        <w:tab w:val="right" w:pos="8640"/>
      </w:tabs>
    </w:pPr>
    <w:rPr>
      <w:rFonts w:ascii="Arial" w:eastAsia="Arial Unicode MS" w:hAnsi="Arial" w:cs="Arial"/>
      <w:sz w:val="18"/>
      <w:szCs w:val="18"/>
      <w:lang w:eastAsia="en-US"/>
    </w:rPr>
  </w:style>
  <w:style w:type="paragraph" w:styleId="Pidipagina">
    <w:name w:val="footer"/>
    <w:basedOn w:val="Normale"/>
    <w:link w:val="PidipaginaCarattere"/>
    <w:uiPriority w:val="99"/>
    <w:rsid w:val="00DD549F"/>
    <w:pPr>
      <w:tabs>
        <w:tab w:val="center" w:pos="4536"/>
        <w:tab w:val="right" w:pos="9072"/>
      </w:tabs>
    </w:pPr>
    <w:rPr>
      <w:lang w:val="de-DE"/>
    </w:rPr>
  </w:style>
  <w:style w:type="character" w:styleId="Numeropagina">
    <w:name w:val="page number"/>
    <w:basedOn w:val="Carpredefinitoparagrafo"/>
    <w:rsid w:val="00DD549F"/>
  </w:style>
  <w:style w:type="paragraph" w:styleId="Rientrocorpodeltesto">
    <w:name w:val="Body Text Indent"/>
    <w:basedOn w:val="Normale"/>
    <w:rsid w:val="00DD549F"/>
    <w:pPr>
      <w:ind w:left="720"/>
    </w:pPr>
    <w:rPr>
      <w:rFonts w:ascii="Arial" w:hAnsi="Arial" w:cs="Arial"/>
      <w:lang w:eastAsia="en-US"/>
    </w:rPr>
  </w:style>
  <w:style w:type="paragraph" w:styleId="Corpotesto">
    <w:name w:val="Body Text"/>
    <w:basedOn w:val="Normale"/>
    <w:link w:val="CorpotestoCarattere"/>
    <w:uiPriority w:val="99"/>
    <w:rsid w:val="00DD549F"/>
    <w:pPr>
      <w:spacing w:after="120"/>
    </w:pPr>
    <w:rPr>
      <w:lang w:val="de-DE"/>
    </w:rPr>
  </w:style>
  <w:style w:type="character" w:styleId="Collegamentoipertestuale">
    <w:name w:val="Hyperlink"/>
    <w:rsid w:val="00DD549F"/>
    <w:rPr>
      <w:color w:val="0000FF"/>
      <w:u w:val="single"/>
    </w:rPr>
  </w:style>
  <w:style w:type="paragraph" w:styleId="Rientrocorpodeltesto2">
    <w:name w:val="Body Text Indent 2"/>
    <w:basedOn w:val="Normale"/>
    <w:rsid w:val="00DD549F"/>
    <w:pPr>
      <w:spacing w:after="120" w:line="480" w:lineRule="auto"/>
      <w:ind w:left="283"/>
    </w:pPr>
  </w:style>
  <w:style w:type="paragraph" w:customStyle="1" w:styleId="Subbulet">
    <w:name w:val="Subbulet"/>
    <w:basedOn w:val="Normale"/>
    <w:rsid w:val="00DD549F"/>
    <w:pPr>
      <w:numPr>
        <w:ilvl w:val="1"/>
        <w:numId w:val="1"/>
      </w:numPr>
      <w:overflowPunct w:val="0"/>
      <w:autoSpaceDE w:val="0"/>
      <w:autoSpaceDN w:val="0"/>
      <w:adjustRightInd w:val="0"/>
      <w:jc w:val="both"/>
      <w:textAlignment w:val="baseline"/>
    </w:pPr>
    <w:rPr>
      <w:sz w:val="26"/>
      <w:szCs w:val="26"/>
      <w:lang w:eastAsia="fr-FR"/>
    </w:rPr>
  </w:style>
  <w:style w:type="character" w:customStyle="1" w:styleId="SubbuletChar">
    <w:name w:val="Subbulet Char"/>
    <w:rsid w:val="00DD549F"/>
    <w:rPr>
      <w:noProof w:val="0"/>
      <w:sz w:val="26"/>
      <w:szCs w:val="26"/>
      <w:lang w:val="en-GB" w:eastAsia="fr-FR" w:bidi="ar-SA"/>
    </w:rPr>
  </w:style>
  <w:style w:type="paragraph" w:customStyle="1" w:styleId="ContinuousSquareBullet">
    <w:name w:val="Continuous Square Bullet"/>
    <w:basedOn w:val="Normale"/>
    <w:rsid w:val="00DD549F"/>
    <w:pPr>
      <w:numPr>
        <w:numId w:val="2"/>
      </w:numPr>
      <w:spacing w:after="280" w:line="280" w:lineRule="exact"/>
    </w:pPr>
    <w:rPr>
      <w:rFonts w:ascii="Arial" w:hAnsi="Arial"/>
      <w:sz w:val="23"/>
      <w:szCs w:val="20"/>
      <w:lang w:eastAsia="en-US"/>
    </w:rPr>
  </w:style>
  <w:style w:type="paragraph" w:styleId="Rientrocorpodeltesto3">
    <w:name w:val="Body Text Indent 3"/>
    <w:basedOn w:val="Normale"/>
    <w:rsid w:val="00DD549F"/>
    <w:pPr>
      <w:spacing w:after="120"/>
      <w:ind w:left="283"/>
    </w:pPr>
    <w:rPr>
      <w:sz w:val="16"/>
      <w:szCs w:val="16"/>
    </w:rPr>
  </w:style>
  <w:style w:type="paragraph" w:styleId="Testonotaapidipagina">
    <w:name w:val="footnote text"/>
    <w:basedOn w:val="Normale"/>
    <w:semiHidden/>
    <w:rsid w:val="00DD549F"/>
    <w:rPr>
      <w:szCs w:val="20"/>
      <w:lang w:val="nl-NL" w:eastAsia="nl-NL"/>
    </w:rPr>
  </w:style>
  <w:style w:type="character" w:styleId="Rimandonotaapidipagina">
    <w:name w:val="footnote reference"/>
    <w:semiHidden/>
    <w:rsid w:val="00DD549F"/>
    <w:rPr>
      <w:vertAlign w:val="superscript"/>
    </w:rPr>
  </w:style>
  <w:style w:type="paragraph" w:styleId="Corpodeltesto3">
    <w:name w:val="Body Text 3"/>
    <w:basedOn w:val="Normale"/>
    <w:rsid w:val="00DD549F"/>
    <w:pPr>
      <w:spacing w:after="120"/>
    </w:pPr>
    <w:rPr>
      <w:sz w:val="16"/>
      <w:szCs w:val="16"/>
    </w:rPr>
  </w:style>
  <w:style w:type="paragraph" w:styleId="Corpodeltesto2">
    <w:name w:val="Body Text 2"/>
    <w:basedOn w:val="Normale"/>
    <w:rsid w:val="00DD549F"/>
    <w:pPr>
      <w:spacing w:after="120" w:line="480" w:lineRule="auto"/>
    </w:pPr>
  </w:style>
  <w:style w:type="paragraph" w:customStyle="1" w:styleId="Anglais">
    <w:name w:val="Anglais"/>
    <w:basedOn w:val="Normale"/>
    <w:rsid w:val="00DD549F"/>
    <w:rPr>
      <w:szCs w:val="20"/>
      <w:lang w:eastAsia="en-US"/>
    </w:rPr>
  </w:style>
  <w:style w:type="character" w:styleId="Rimandonotadichiusura">
    <w:name w:val="endnote reference"/>
    <w:semiHidden/>
    <w:rsid w:val="00DD549F"/>
    <w:rPr>
      <w:vertAlign w:val="superscript"/>
    </w:rPr>
  </w:style>
  <w:style w:type="paragraph" w:customStyle="1" w:styleId="BalloonText1">
    <w:name w:val="Balloon Text1"/>
    <w:basedOn w:val="Normale"/>
    <w:semiHidden/>
    <w:rsid w:val="00DD549F"/>
    <w:rPr>
      <w:rFonts w:ascii="Tahoma" w:hAnsi="Tahoma" w:cs="Tahoma"/>
      <w:sz w:val="16"/>
      <w:szCs w:val="16"/>
    </w:rPr>
  </w:style>
  <w:style w:type="paragraph" w:styleId="Testofumetto">
    <w:name w:val="Balloon Text"/>
    <w:basedOn w:val="Normale"/>
    <w:semiHidden/>
    <w:rsid w:val="00CD78DD"/>
    <w:rPr>
      <w:rFonts w:ascii="Tahoma" w:hAnsi="Tahoma" w:cs="Tahoma"/>
      <w:sz w:val="16"/>
      <w:szCs w:val="16"/>
    </w:rPr>
  </w:style>
  <w:style w:type="paragraph" w:customStyle="1" w:styleId="FirmaSchlu">
    <w:name w:val="FirmaSchluß"/>
    <w:basedOn w:val="Normale"/>
    <w:rsid w:val="00DD549F"/>
    <w:pPr>
      <w:tabs>
        <w:tab w:val="center" w:pos="6237"/>
      </w:tabs>
      <w:autoSpaceDE w:val="0"/>
      <w:autoSpaceDN w:val="0"/>
      <w:adjustRightInd w:val="0"/>
      <w:ind w:left="705"/>
      <w:jc w:val="both"/>
    </w:pPr>
    <w:rPr>
      <w:rFonts w:ascii="Helv" w:hAnsi="Helv"/>
      <w:color w:val="000000"/>
      <w:szCs w:val="20"/>
    </w:rPr>
  </w:style>
  <w:style w:type="paragraph" w:customStyle="1" w:styleId="Noparagraphstyle">
    <w:name w:val="[No paragraph style]"/>
    <w:rsid w:val="00DD549F"/>
    <w:pPr>
      <w:autoSpaceDE w:val="0"/>
      <w:autoSpaceDN w:val="0"/>
      <w:adjustRightInd w:val="0"/>
      <w:spacing w:line="288" w:lineRule="auto"/>
      <w:textAlignment w:val="center"/>
    </w:pPr>
    <w:rPr>
      <w:color w:val="000000"/>
      <w:sz w:val="24"/>
      <w:szCs w:val="24"/>
      <w:lang w:val="fr-FR" w:eastAsia="fr-FR"/>
    </w:rPr>
  </w:style>
  <w:style w:type="paragraph" w:customStyle="1" w:styleId="Default">
    <w:name w:val="Default"/>
    <w:rsid w:val="00DD549F"/>
    <w:pPr>
      <w:autoSpaceDE w:val="0"/>
      <w:autoSpaceDN w:val="0"/>
      <w:adjustRightInd w:val="0"/>
    </w:pPr>
    <w:rPr>
      <w:rFonts w:ascii="Arial" w:hAnsi="Arial" w:cs="Arial"/>
      <w:color w:val="000000"/>
      <w:sz w:val="24"/>
      <w:szCs w:val="24"/>
      <w:lang w:val="de-DE" w:eastAsia="de-DE"/>
    </w:rPr>
  </w:style>
  <w:style w:type="paragraph" w:customStyle="1" w:styleId="minutesstyle">
    <w:name w:val="minutes style"/>
    <w:basedOn w:val="Normale"/>
    <w:rsid w:val="00DD549F"/>
    <w:rPr>
      <w:rFonts w:ascii="Arial" w:hAnsi="Arial"/>
      <w:szCs w:val="20"/>
      <w:lang w:eastAsia="en-US"/>
    </w:rPr>
  </w:style>
  <w:style w:type="character" w:customStyle="1" w:styleId="Heading5Char">
    <w:name w:val="Heading 5 Char"/>
    <w:rsid w:val="00DD549F"/>
    <w:rPr>
      <w:b/>
      <w:bCs/>
      <w:i/>
      <w:iCs/>
      <w:sz w:val="26"/>
      <w:szCs w:val="26"/>
      <w:lang w:val="de-DE" w:eastAsia="de-DE" w:bidi="ar-SA"/>
    </w:rPr>
  </w:style>
  <w:style w:type="paragraph" w:customStyle="1" w:styleId="Overskrift">
    <w:name w:val="Overskrift"/>
    <w:basedOn w:val="Normale"/>
    <w:next w:val="Normale"/>
    <w:rsid w:val="00DD549F"/>
    <w:pPr>
      <w:spacing w:after="240"/>
      <w:jc w:val="both"/>
    </w:pPr>
    <w:rPr>
      <w:b/>
      <w:szCs w:val="20"/>
    </w:rPr>
  </w:style>
  <w:style w:type="paragraph" w:customStyle="1" w:styleId="000">
    <w:name w:val="000"/>
    <w:aliases w:val="standaard"/>
    <w:basedOn w:val="Normale"/>
    <w:rsid w:val="00DD549F"/>
    <w:pPr>
      <w:overflowPunct w:val="0"/>
      <w:autoSpaceDE w:val="0"/>
      <w:autoSpaceDN w:val="0"/>
      <w:adjustRightInd w:val="0"/>
      <w:spacing w:line="280" w:lineRule="atLeast"/>
      <w:jc w:val="both"/>
      <w:textAlignment w:val="baseline"/>
    </w:pPr>
    <w:rPr>
      <w:szCs w:val="20"/>
      <w:lang w:val="en-US" w:eastAsia="en-US"/>
    </w:rPr>
  </w:style>
  <w:style w:type="paragraph" w:styleId="Rientronormale">
    <w:name w:val="Normal Indent"/>
    <w:basedOn w:val="Normale"/>
    <w:rsid w:val="00DD549F"/>
    <w:pPr>
      <w:spacing w:after="180" w:line="288" w:lineRule="auto"/>
      <w:ind w:left="709"/>
    </w:pPr>
    <w:rPr>
      <w:rFonts w:ascii="Arial" w:hAnsi="Arial"/>
      <w:noProof/>
      <w:sz w:val="20"/>
      <w:szCs w:val="20"/>
      <w:lang w:eastAsia="en-US"/>
    </w:rPr>
  </w:style>
  <w:style w:type="paragraph" w:customStyle="1" w:styleId="NormalBefore3pt">
    <w:name w:val="Normal + Before:  3 pt"/>
    <w:aliases w:val="After:  0 pt"/>
    <w:basedOn w:val="Normale"/>
    <w:rsid w:val="00DD549F"/>
    <w:pPr>
      <w:autoSpaceDE w:val="0"/>
      <w:autoSpaceDN w:val="0"/>
      <w:adjustRightInd w:val="0"/>
    </w:pPr>
    <w:rPr>
      <w:rFonts w:ascii="Arial" w:hAnsi="Arial"/>
      <w:sz w:val="20"/>
      <w:szCs w:val="20"/>
      <w:lang w:eastAsia="en-US"/>
    </w:rPr>
  </w:style>
  <w:style w:type="paragraph" w:customStyle="1" w:styleId="BodyText-CEA">
    <w:name w:val="Body Text - CEA"/>
    <w:basedOn w:val="Normale"/>
    <w:autoRedefine/>
    <w:rsid w:val="00243997"/>
    <w:pPr>
      <w:jc w:val="both"/>
    </w:pPr>
    <w:rPr>
      <w:rFonts w:ascii="Verdana" w:hAnsi="Verdana"/>
      <w:sz w:val="22"/>
      <w:szCs w:val="22"/>
    </w:rPr>
  </w:style>
  <w:style w:type="paragraph" w:customStyle="1" w:styleId="Heading2-CEA">
    <w:name w:val="Heading 2 - CEA"/>
    <w:basedOn w:val="Normale"/>
    <w:rsid w:val="00DD549F"/>
    <w:pPr>
      <w:overflowPunct w:val="0"/>
      <w:autoSpaceDE w:val="0"/>
      <w:autoSpaceDN w:val="0"/>
      <w:adjustRightInd w:val="0"/>
      <w:jc w:val="both"/>
      <w:textAlignment w:val="baseline"/>
    </w:pPr>
    <w:rPr>
      <w:rFonts w:ascii="Frutiger LT Com 45 Light" w:hAnsi="Frutiger LT Com 45 Light"/>
      <w:b/>
      <w:lang w:eastAsia="fr-FR"/>
    </w:rPr>
  </w:style>
  <w:style w:type="paragraph" w:customStyle="1" w:styleId="ACbodynormal">
    <w:name w:val="AC body normal"/>
    <w:rsid w:val="00BB3802"/>
    <w:pPr>
      <w:spacing w:before="100" w:after="100" w:line="200" w:lineRule="atLeast"/>
    </w:pPr>
    <w:rPr>
      <w:sz w:val="21"/>
      <w:lang w:val="en-GB" w:eastAsia="en-US"/>
    </w:rPr>
  </w:style>
  <w:style w:type="character" w:customStyle="1" w:styleId="Heading1-CEACharCharCharCharCharCharCharCharCharCharCharChar">
    <w:name w:val="Heading 1 - CEA Char Char Char Char Char Char Char Char Char Char Char Char"/>
    <w:link w:val="Heading1-CEACharCharCharCharCharCharCharCharCharCharChar"/>
    <w:rsid w:val="00CC4D62"/>
    <w:rPr>
      <w:rFonts w:ascii="Frutiger LT Com 45 Light" w:hAnsi="Frutiger LT Com 45 Light"/>
      <w:b/>
      <w:color w:val="034EA2"/>
      <w:sz w:val="28"/>
      <w:szCs w:val="28"/>
      <w:lang w:val="en-GB" w:eastAsia="fr-FR" w:bidi="ar-SA"/>
    </w:rPr>
  </w:style>
  <w:style w:type="paragraph" w:customStyle="1" w:styleId="Heading1-CEACharCharCharCharCharCharCharCharCharCharChar">
    <w:name w:val="Heading 1 - CEA Char Char Char Char Char Char Char Char Char Char Char"/>
    <w:basedOn w:val="Normale"/>
    <w:link w:val="Heading1-CEACharCharCharCharCharCharCharCharCharCharCharChar"/>
    <w:autoRedefine/>
    <w:rsid w:val="00CC4D62"/>
    <w:pPr>
      <w:overflowPunct w:val="0"/>
      <w:autoSpaceDE w:val="0"/>
      <w:autoSpaceDN w:val="0"/>
      <w:adjustRightInd w:val="0"/>
      <w:jc w:val="both"/>
      <w:textAlignment w:val="baseline"/>
    </w:pPr>
    <w:rPr>
      <w:rFonts w:ascii="Frutiger LT Com 45 Light" w:hAnsi="Frutiger LT Com 45 Light"/>
      <w:b/>
      <w:color w:val="034EA2"/>
      <w:sz w:val="28"/>
      <w:szCs w:val="28"/>
      <w:lang w:eastAsia="fr-FR"/>
    </w:rPr>
  </w:style>
  <w:style w:type="paragraph" w:customStyle="1" w:styleId="List1-CEA">
    <w:name w:val="List 1 -  CEA"/>
    <w:basedOn w:val="Normale"/>
    <w:autoRedefine/>
    <w:rsid w:val="00CC4D62"/>
    <w:pPr>
      <w:autoSpaceDE w:val="0"/>
      <w:autoSpaceDN w:val="0"/>
      <w:adjustRightInd w:val="0"/>
      <w:jc w:val="both"/>
    </w:pPr>
    <w:rPr>
      <w:rFonts w:ascii="Frutiger LT Com 45 Light" w:hAnsi="Frutiger LT Com 45 Light"/>
      <w:sz w:val="20"/>
      <w:szCs w:val="20"/>
      <w:lang w:eastAsia="en-US"/>
    </w:rPr>
  </w:style>
  <w:style w:type="paragraph" w:customStyle="1" w:styleId="Heading1-CEA">
    <w:name w:val="Heading 1 - CEA"/>
    <w:basedOn w:val="Normale"/>
    <w:autoRedefine/>
    <w:rsid w:val="00622E5F"/>
    <w:pPr>
      <w:autoSpaceDE w:val="0"/>
      <w:autoSpaceDN w:val="0"/>
      <w:adjustRightInd w:val="0"/>
    </w:pPr>
    <w:rPr>
      <w:rFonts w:ascii="Frutiger LT Com 45 Light" w:hAnsi="Frutiger LT Com 45 Light"/>
      <w:b/>
      <w:color w:val="034EA2"/>
      <w:sz w:val="28"/>
      <w:szCs w:val="28"/>
      <w:lang w:eastAsia="en-US"/>
    </w:rPr>
  </w:style>
  <w:style w:type="paragraph" w:customStyle="1" w:styleId="Text">
    <w:name w:val="Text"/>
    <w:basedOn w:val="Normale"/>
    <w:rsid w:val="00226071"/>
    <w:p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Bullet">
    <w:name w:val="Bullet"/>
    <w:basedOn w:val="Normale"/>
    <w:rsid w:val="00226071"/>
    <w:pPr>
      <w:numPr>
        <w:numId w:val="3"/>
      </w:numPr>
      <w:tabs>
        <w:tab w:val="left" w:pos="284"/>
      </w:tabs>
      <w:overflowPunct w:val="0"/>
      <w:autoSpaceDE w:val="0"/>
      <w:autoSpaceDN w:val="0"/>
      <w:adjustRightInd w:val="0"/>
      <w:spacing w:after="260"/>
      <w:jc w:val="both"/>
      <w:textAlignment w:val="baseline"/>
    </w:pPr>
    <w:rPr>
      <w:sz w:val="22"/>
      <w:szCs w:val="20"/>
      <w:lang w:eastAsia="en-US"/>
    </w:rPr>
  </w:style>
  <w:style w:type="paragraph" w:customStyle="1" w:styleId="a">
    <w:name w:val="(a)"/>
    <w:basedOn w:val="Corpotesto"/>
    <w:rsid w:val="0030434D"/>
    <w:pPr>
      <w:spacing w:after="240"/>
      <w:ind w:left="720" w:hanging="720"/>
      <w:jc w:val="both"/>
    </w:pPr>
    <w:rPr>
      <w:lang w:val="en-GB" w:eastAsia="en-US"/>
    </w:rPr>
  </w:style>
  <w:style w:type="paragraph" w:customStyle="1" w:styleId="i">
    <w:name w:val="(i)"/>
    <w:basedOn w:val="Corpotesto"/>
    <w:rsid w:val="0030434D"/>
    <w:pPr>
      <w:tabs>
        <w:tab w:val="right" w:pos="1296"/>
      </w:tabs>
      <w:spacing w:after="240"/>
      <w:ind w:left="1440" w:hanging="1440"/>
      <w:jc w:val="both"/>
    </w:pPr>
    <w:rPr>
      <w:lang w:val="en-GB" w:eastAsia="en-US"/>
    </w:rPr>
  </w:style>
  <w:style w:type="character" w:styleId="Rimandocommento">
    <w:name w:val="annotation reference"/>
    <w:uiPriority w:val="99"/>
    <w:semiHidden/>
    <w:rsid w:val="0039488F"/>
    <w:rPr>
      <w:sz w:val="16"/>
      <w:szCs w:val="16"/>
    </w:rPr>
  </w:style>
  <w:style w:type="paragraph" w:styleId="Testocommento">
    <w:name w:val="annotation text"/>
    <w:basedOn w:val="Normale"/>
    <w:link w:val="TestocommentoCarattere"/>
    <w:rsid w:val="0039488F"/>
    <w:rPr>
      <w:sz w:val="20"/>
      <w:szCs w:val="20"/>
      <w:lang w:val="de-DE"/>
    </w:rPr>
  </w:style>
  <w:style w:type="paragraph" w:styleId="Soggettocommento">
    <w:name w:val="annotation subject"/>
    <w:basedOn w:val="Testocommento"/>
    <w:next w:val="Testocommento"/>
    <w:semiHidden/>
    <w:rsid w:val="0039488F"/>
    <w:rPr>
      <w:b/>
      <w:bCs/>
    </w:rPr>
  </w:style>
  <w:style w:type="paragraph" w:customStyle="1" w:styleId="DocTitle">
    <w:name w:val="DocTitle"/>
    <w:basedOn w:val="Normale"/>
    <w:rsid w:val="00342456"/>
    <w:pPr>
      <w:pBdr>
        <w:top w:val="single" w:sz="4" w:space="1" w:color="auto"/>
        <w:left w:val="single" w:sz="4" w:space="4" w:color="auto"/>
        <w:bottom w:val="single" w:sz="4" w:space="1" w:color="auto"/>
        <w:right w:val="single" w:sz="4" w:space="4" w:color="auto"/>
      </w:pBdr>
      <w:spacing w:after="120"/>
      <w:jc w:val="center"/>
    </w:pPr>
    <w:rPr>
      <w:rFonts w:ascii="Verdana" w:eastAsia="MS Mincho" w:hAnsi="Verdana"/>
      <w:b/>
      <w:sz w:val="48"/>
      <w:szCs w:val="48"/>
      <w:lang w:eastAsia="ja-JP"/>
    </w:rPr>
  </w:style>
  <w:style w:type="paragraph" w:customStyle="1" w:styleId="Paragraph">
    <w:name w:val="Paragraph"/>
    <w:basedOn w:val="Normale"/>
    <w:rsid w:val="00C5529D"/>
    <w:pPr>
      <w:spacing w:after="120"/>
      <w:jc w:val="both"/>
    </w:pPr>
    <w:rPr>
      <w:rFonts w:ascii="Arial" w:eastAsia="Arial Unicode MS" w:hAnsi="Arial"/>
      <w:sz w:val="18"/>
      <w:szCs w:val="18"/>
      <w:lang w:eastAsia="nl-NL"/>
    </w:rPr>
  </w:style>
  <w:style w:type="paragraph" w:customStyle="1" w:styleId="Numberedparagraph">
    <w:name w:val="Numbered paragraph"/>
    <w:rsid w:val="008A5809"/>
    <w:pPr>
      <w:numPr>
        <w:numId w:val="4"/>
      </w:numPr>
      <w:spacing w:after="240" w:line="280" w:lineRule="atLeast"/>
      <w:jc w:val="both"/>
    </w:pPr>
    <w:rPr>
      <w:rFonts w:ascii="Arial" w:hAnsi="Arial"/>
      <w:sz w:val="22"/>
      <w:lang w:val="en-GB" w:eastAsia="en-US"/>
    </w:rPr>
  </w:style>
  <w:style w:type="paragraph" w:customStyle="1" w:styleId="QISIndentCharCharChar">
    <w:name w:val="QISIndent Char Char Char"/>
    <w:basedOn w:val="Normale"/>
    <w:rsid w:val="008C3429"/>
    <w:pPr>
      <w:spacing w:after="240"/>
      <w:ind w:left="1134"/>
      <w:jc w:val="both"/>
    </w:pPr>
    <w:rPr>
      <w:rFonts w:ascii="Verdana" w:eastAsia="MS Mincho" w:hAnsi="Verdana"/>
      <w:sz w:val="22"/>
      <w:szCs w:val="20"/>
      <w:lang w:eastAsia="ja-JP"/>
    </w:rPr>
  </w:style>
  <w:style w:type="paragraph" w:customStyle="1" w:styleId="QISTextCharCharCharCharCharCharCharCharCharCharCharCharChar1CharChar">
    <w:name w:val="QISText Char Char Char Char Char Char Char Char Char Char Char Char Char1 Char Char"/>
    <w:basedOn w:val="Normale"/>
    <w:rsid w:val="006C6E24"/>
    <w:pPr>
      <w:numPr>
        <w:ilvl w:val="1"/>
        <w:numId w:val="5"/>
      </w:numPr>
      <w:spacing w:after="240"/>
      <w:jc w:val="both"/>
    </w:pPr>
    <w:rPr>
      <w:rFonts w:ascii="Verdana" w:eastAsia="MS Mincho" w:hAnsi="Verdana"/>
      <w:sz w:val="22"/>
      <w:szCs w:val="22"/>
      <w:lang w:eastAsia="ja-JP"/>
    </w:rPr>
  </w:style>
  <w:style w:type="table" w:styleId="Grigliatabella">
    <w:name w:val="Table Grid"/>
    <w:basedOn w:val="Tabellanormale"/>
    <w:rsid w:val="003D6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link w:val="Testocommento"/>
    <w:rsid w:val="005F1E2A"/>
    <w:rPr>
      <w:lang w:val="de-DE" w:eastAsia="de-DE"/>
    </w:rPr>
  </w:style>
  <w:style w:type="paragraph" w:customStyle="1" w:styleId="ListParagraph1">
    <w:name w:val="List Paragraph1"/>
    <w:basedOn w:val="Normale"/>
    <w:uiPriority w:val="34"/>
    <w:qFormat/>
    <w:rsid w:val="005F1E2A"/>
    <w:pPr>
      <w:ind w:left="708"/>
    </w:pPr>
    <w:rPr>
      <w:lang w:eastAsia="en-GB"/>
    </w:rPr>
  </w:style>
  <w:style w:type="character" w:customStyle="1" w:styleId="CorpotestoCarattere">
    <w:name w:val="Corpo testo Carattere"/>
    <w:link w:val="Corpotesto"/>
    <w:uiPriority w:val="99"/>
    <w:rsid w:val="007E3875"/>
    <w:rPr>
      <w:sz w:val="24"/>
      <w:szCs w:val="24"/>
      <w:lang w:val="de-DE" w:eastAsia="de-DE"/>
    </w:rPr>
  </w:style>
  <w:style w:type="character" w:styleId="Enfasigrassetto">
    <w:name w:val="Strong"/>
    <w:uiPriority w:val="22"/>
    <w:qFormat/>
    <w:rsid w:val="007E3875"/>
    <w:rPr>
      <w:b/>
      <w:bCs/>
    </w:rPr>
  </w:style>
  <w:style w:type="character" w:customStyle="1" w:styleId="PidipaginaCarattere">
    <w:name w:val="Piè di pagina Carattere"/>
    <w:link w:val="Pidipagina"/>
    <w:uiPriority w:val="99"/>
    <w:rsid w:val="00A95D0F"/>
    <w:rPr>
      <w:sz w:val="24"/>
      <w:szCs w:val="24"/>
      <w:lang w:val="de-DE" w:eastAsia="de-DE"/>
    </w:rPr>
  </w:style>
  <w:style w:type="paragraph" w:customStyle="1" w:styleId="04aNumeration">
    <w:name w:val="04a_Numeration"/>
    <w:basedOn w:val="Normale"/>
    <w:uiPriority w:val="99"/>
    <w:rsid w:val="006508B8"/>
    <w:pPr>
      <w:numPr>
        <w:numId w:val="7"/>
      </w:numPr>
      <w:spacing w:after="250" w:line="276" w:lineRule="auto"/>
      <w:jc w:val="both"/>
    </w:pPr>
    <w:rPr>
      <w:rFonts w:ascii="Georgia" w:hAnsi="Georgia"/>
      <w:szCs w:val="20"/>
    </w:rPr>
  </w:style>
  <w:style w:type="paragraph" w:customStyle="1" w:styleId="ManualNumPar1">
    <w:name w:val="Manual NumPar 1"/>
    <w:basedOn w:val="Normale"/>
    <w:next w:val="Normale"/>
    <w:link w:val="ManualNumPar1Char"/>
    <w:rsid w:val="00A5091C"/>
    <w:pPr>
      <w:spacing w:before="120" w:after="120"/>
      <w:ind w:left="850" w:hanging="850"/>
      <w:jc w:val="both"/>
    </w:pPr>
  </w:style>
  <w:style w:type="character" w:customStyle="1" w:styleId="ManualNumPar1Char">
    <w:name w:val="Manual NumPar 1 Char"/>
    <w:link w:val="ManualNumPar1"/>
    <w:rsid w:val="00A5091C"/>
    <w:rPr>
      <w:sz w:val="24"/>
      <w:szCs w:val="24"/>
      <w:lang w:eastAsia="de-DE"/>
    </w:rPr>
  </w:style>
  <w:style w:type="paragraph" w:customStyle="1" w:styleId="Chapter">
    <w:name w:val="Chapter"/>
    <w:basedOn w:val="Normale"/>
    <w:next w:val="Normale"/>
    <w:rsid w:val="00E90914"/>
    <w:pPr>
      <w:keepNext/>
      <w:numPr>
        <w:ilvl w:val="1"/>
        <w:numId w:val="10"/>
      </w:numPr>
      <w:spacing w:before="480" w:after="240"/>
      <w:contextualSpacing/>
      <w:jc w:val="center"/>
      <w:outlineLvl w:val="1"/>
    </w:pPr>
    <w:rPr>
      <w:b/>
      <w:lang w:eastAsia="en-US"/>
    </w:rPr>
  </w:style>
  <w:style w:type="paragraph" w:customStyle="1" w:styleId="Article">
    <w:name w:val="Article"/>
    <w:basedOn w:val="Normale"/>
    <w:next w:val="Normale"/>
    <w:rsid w:val="00E90914"/>
    <w:pPr>
      <w:keepNext/>
      <w:numPr>
        <w:ilvl w:val="2"/>
        <w:numId w:val="10"/>
      </w:numPr>
      <w:spacing w:after="240"/>
      <w:contextualSpacing/>
      <w:outlineLvl w:val="2"/>
    </w:pPr>
    <w:rPr>
      <w:b/>
      <w:lang w:eastAsia="en-US"/>
    </w:rPr>
  </w:style>
  <w:style w:type="numbering" w:customStyle="1" w:styleId="Decision">
    <w:name w:val="Decision"/>
    <w:basedOn w:val="Nessunelenco"/>
    <w:rsid w:val="00E90914"/>
    <w:pPr>
      <w:numPr>
        <w:numId w:val="37"/>
      </w:numPr>
    </w:pPr>
  </w:style>
  <w:style w:type="paragraph" w:customStyle="1" w:styleId="Titles">
    <w:name w:val="Titles"/>
    <w:basedOn w:val="Normale"/>
    <w:next w:val="Chapter"/>
    <w:rsid w:val="00E90914"/>
    <w:pPr>
      <w:keepNext/>
      <w:numPr>
        <w:numId w:val="10"/>
      </w:numPr>
      <w:spacing w:before="480" w:after="240"/>
      <w:contextualSpacing/>
      <w:jc w:val="center"/>
      <w:outlineLvl w:val="0"/>
    </w:pPr>
    <w:rPr>
      <w:b/>
      <w:caps/>
      <w:lang w:eastAsia="en-US"/>
    </w:rPr>
  </w:style>
  <w:style w:type="paragraph" w:customStyle="1" w:styleId="Para1">
    <w:name w:val="Para 1."/>
    <w:basedOn w:val="Normale"/>
    <w:rsid w:val="00E90914"/>
    <w:pPr>
      <w:numPr>
        <w:ilvl w:val="3"/>
        <w:numId w:val="10"/>
      </w:numPr>
      <w:spacing w:after="240"/>
      <w:outlineLvl w:val="3"/>
    </w:pPr>
    <w:rPr>
      <w:lang w:eastAsia="en-US"/>
    </w:rPr>
  </w:style>
  <w:style w:type="paragraph" w:customStyle="1" w:styleId="Sub-paraa">
    <w:name w:val="Sub-para (a)"/>
    <w:basedOn w:val="Normale"/>
    <w:rsid w:val="00E90914"/>
    <w:pPr>
      <w:numPr>
        <w:ilvl w:val="4"/>
        <w:numId w:val="10"/>
      </w:numPr>
      <w:spacing w:after="240"/>
      <w:outlineLvl w:val="4"/>
    </w:pPr>
    <w:rPr>
      <w:lang w:eastAsia="en-US"/>
    </w:rPr>
  </w:style>
  <w:style w:type="paragraph" w:customStyle="1" w:styleId="Sub-parai">
    <w:name w:val="Sub-para (i)"/>
    <w:basedOn w:val="Normale"/>
    <w:rsid w:val="00E90914"/>
    <w:pPr>
      <w:numPr>
        <w:ilvl w:val="5"/>
        <w:numId w:val="10"/>
      </w:numPr>
      <w:spacing w:after="240"/>
      <w:outlineLvl w:val="5"/>
    </w:pPr>
    <w:rPr>
      <w:lang w:eastAsia="en-US"/>
    </w:rPr>
  </w:style>
  <w:style w:type="paragraph" w:styleId="Testonormale">
    <w:name w:val="Plain Text"/>
    <w:basedOn w:val="Normale"/>
    <w:link w:val="TestonormaleCarattere"/>
    <w:uiPriority w:val="99"/>
    <w:unhideWhenUsed/>
    <w:rsid w:val="00B47C09"/>
    <w:rPr>
      <w:rFonts w:ascii="Calibri" w:hAnsi="Calibri"/>
      <w:sz w:val="22"/>
      <w:szCs w:val="21"/>
    </w:rPr>
  </w:style>
  <w:style w:type="character" w:customStyle="1" w:styleId="TestonormaleCarattere">
    <w:name w:val="Testo normale Carattere"/>
    <w:link w:val="Testonormale"/>
    <w:uiPriority w:val="99"/>
    <w:rsid w:val="00B47C09"/>
    <w:rPr>
      <w:rFonts w:ascii="Calibri" w:hAnsi="Calibri"/>
      <w:sz w:val="22"/>
      <w:szCs w:val="21"/>
    </w:rPr>
  </w:style>
  <w:style w:type="paragraph" w:customStyle="1" w:styleId="Normale1">
    <w:name w:val="Normale1"/>
    <w:basedOn w:val="Normale"/>
    <w:rsid w:val="008913C9"/>
    <w:pPr>
      <w:widowControl w:val="0"/>
    </w:pPr>
    <w:rPr>
      <w:rFonts w:ascii="Arial" w:eastAsia="Arial" w:hAnsi="Arial" w:cs="Arial"/>
      <w:sz w:val="22"/>
      <w:szCs w:val="20"/>
      <w:lang w:val="it-IT" w:eastAsia="it-IT"/>
    </w:rPr>
  </w:style>
  <w:style w:type="paragraph" w:styleId="Paragrafoelenco">
    <w:name w:val="List Paragraph"/>
    <w:basedOn w:val="Normale"/>
    <w:uiPriority w:val="34"/>
    <w:qFormat/>
    <w:rsid w:val="00BE0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972">
      <w:bodyDiv w:val="1"/>
      <w:marLeft w:val="0"/>
      <w:marRight w:val="0"/>
      <w:marTop w:val="0"/>
      <w:marBottom w:val="0"/>
      <w:divBdr>
        <w:top w:val="none" w:sz="0" w:space="0" w:color="auto"/>
        <w:left w:val="none" w:sz="0" w:space="0" w:color="auto"/>
        <w:bottom w:val="none" w:sz="0" w:space="0" w:color="auto"/>
        <w:right w:val="none" w:sz="0" w:space="0" w:color="auto"/>
      </w:divBdr>
    </w:div>
    <w:div w:id="22294616">
      <w:bodyDiv w:val="1"/>
      <w:marLeft w:val="0"/>
      <w:marRight w:val="0"/>
      <w:marTop w:val="0"/>
      <w:marBottom w:val="0"/>
      <w:divBdr>
        <w:top w:val="none" w:sz="0" w:space="0" w:color="auto"/>
        <w:left w:val="none" w:sz="0" w:space="0" w:color="auto"/>
        <w:bottom w:val="none" w:sz="0" w:space="0" w:color="auto"/>
        <w:right w:val="none" w:sz="0" w:space="0" w:color="auto"/>
      </w:divBdr>
    </w:div>
    <w:div w:id="93791319">
      <w:bodyDiv w:val="1"/>
      <w:marLeft w:val="0"/>
      <w:marRight w:val="0"/>
      <w:marTop w:val="0"/>
      <w:marBottom w:val="0"/>
      <w:divBdr>
        <w:top w:val="none" w:sz="0" w:space="0" w:color="auto"/>
        <w:left w:val="none" w:sz="0" w:space="0" w:color="auto"/>
        <w:bottom w:val="none" w:sz="0" w:space="0" w:color="auto"/>
        <w:right w:val="none" w:sz="0" w:space="0" w:color="auto"/>
      </w:divBdr>
    </w:div>
    <w:div w:id="204611273">
      <w:bodyDiv w:val="1"/>
      <w:marLeft w:val="0"/>
      <w:marRight w:val="0"/>
      <w:marTop w:val="0"/>
      <w:marBottom w:val="0"/>
      <w:divBdr>
        <w:top w:val="none" w:sz="0" w:space="0" w:color="auto"/>
        <w:left w:val="none" w:sz="0" w:space="0" w:color="auto"/>
        <w:bottom w:val="none" w:sz="0" w:space="0" w:color="auto"/>
        <w:right w:val="none" w:sz="0" w:space="0" w:color="auto"/>
      </w:divBdr>
    </w:div>
    <w:div w:id="231041290">
      <w:bodyDiv w:val="1"/>
      <w:marLeft w:val="0"/>
      <w:marRight w:val="0"/>
      <w:marTop w:val="0"/>
      <w:marBottom w:val="0"/>
      <w:divBdr>
        <w:top w:val="none" w:sz="0" w:space="0" w:color="auto"/>
        <w:left w:val="none" w:sz="0" w:space="0" w:color="auto"/>
        <w:bottom w:val="none" w:sz="0" w:space="0" w:color="auto"/>
        <w:right w:val="none" w:sz="0" w:space="0" w:color="auto"/>
      </w:divBdr>
    </w:div>
    <w:div w:id="400375158">
      <w:bodyDiv w:val="1"/>
      <w:marLeft w:val="0"/>
      <w:marRight w:val="0"/>
      <w:marTop w:val="0"/>
      <w:marBottom w:val="0"/>
      <w:divBdr>
        <w:top w:val="none" w:sz="0" w:space="0" w:color="auto"/>
        <w:left w:val="none" w:sz="0" w:space="0" w:color="auto"/>
        <w:bottom w:val="none" w:sz="0" w:space="0" w:color="auto"/>
        <w:right w:val="none" w:sz="0" w:space="0" w:color="auto"/>
      </w:divBdr>
    </w:div>
    <w:div w:id="425618651">
      <w:bodyDiv w:val="1"/>
      <w:marLeft w:val="0"/>
      <w:marRight w:val="0"/>
      <w:marTop w:val="0"/>
      <w:marBottom w:val="0"/>
      <w:divBdr>
        <w:top w:val="none" w:sz="0" w:space="0" w:color="auto"/>
        <w:left w:val="none" w:sz="0" w:space="0" w:color="auto"/>
        <w:bottom w:val="none" w:sz="0" w:space="0" w:color="auto"/>
        <w:right w:val="none" w:sz="0" w:space="0" w:color="auto"/>
      </w:divBdr>
    </w:div>
    <w:div w:id="480922357">
      <w:bodyDiv w:val="1"/>
      <w:marLeft w:val="0"/>
      <w:marRight w:val="0"/>
      <w:marTop w:val="0"/>
      <w:marBottom w:val="0"/>
      <w:divBdr>
        <w:top w:val="none" w:sz="0" w:space="0" w:color="auto"/>
        <w:left w:val="none" w:sz="0" w:space="0" w:color="auto"/>
        <w:bottom w:val="none" w:sz="0" w:space="0" w:color="auto"/>
        <w:right w:val="none" w:sz="0" w:space="0" w:color="auto"/>
      </w:divBdr>
    </w:div>
    <w:div w:id="528766029">
      <w:bodyDiv w:val="1"/>
      <w:marLeft w:val="0"/>
      <w:marRight w:val="0"/>
      <w:marTop w:val="0"/>
      <w:marBottom w:val="0"/>
      <w:divBdr>
        <w:top w:val="none" w:sz="0" w:space="0" w:color="auto"/>
        <w:left w:val="none" w:sz="0" w:space="0" w:color="auto"/>
        <w:bottom w:val="none" w:sz="0" w:space="0" w:color="auto"/>
        <w:right w:val="none" w:sz="0" w:space="0" w:color="auto"/>
      </w:divBdr>
    </w:div>
    <w:div w:id="550964629">
      <w:bodyDiv w:val="1"/>
      <w:marLeft w:val="0"/>
      <w:marRight w:val="0"/>
      <w:marTop w:val="0"/>
      <w:marBottom w:val="0"/>
      <w:divBdr>
        <w:top w:val="none" w:sz="0" w:space="0" w:color="auto"/>
        <w:left w:val="none" w:sz="0" w:space="0" w:color="auto"/>
        <w:bottom w:val="none" w:sz="0" w:space="0" w:color="auto"/>
        <w:right w:val="none" w:sz="0" w:space="0" w:color="auto"/>
      </w:divBdr>
    </w:div>
    <w:div w:id="687561271">
      <w:bodyDiv w:val="1"/>
      <w:marLeft w:val="0"/>
      <w:marRight w:val="0"/>
      <w:marTop w:val="0"/>
      <w:marBottom w:val="0"/>
      <w:divBdr>
        <w:top w:val="none" w:sz="0" w:space="0" w:color="auto"/>
        <w:left w:val="none" w:sz="0" w:space="0" w:color="auto"/>
        <w:bottom w:val="none" w:sz="0" w:space="0" w:color="auto"/>
        <w:right w:val="none" w:sz="0" w:space="0" w:color="auto"/>
      </w:divBdr>
    </w:div>
    <w:div w:id="722556800">
      <w:bodyDiv w:val="1"/>
      <w:marLeft w:val="0"/>
      <w:marRight w:val="0"/>
      <w:marTop w:val="0"/>
      <w:marBottom w:val="0"/>
      <w:divBdr>
        <w:top w:val="none" w:sz="0" w:space="0" w:color="auto"/>
        <w:left w:val="none" w:sz="0" w:space="0" w:color="auto"/>
        <w:bottom w:val="none" w:sz="0" w:space="0" w:color="auto"/>
        <w:right w:val="none" w:sz="0" w:space="0" w:color="auto"/>
      </w:divBdr>
    </w:div>
    <w:div w:id="777067847">
      <w:bodyDiv w:val="1"/>
      <w:marLeft w:val="0"/>
      <w:marRight w:val="0"/>
      <w:marTop w:val="0"/>
      <w:marBottom w:val="0"/>
      <w:divBdr>
        <w:top w:val="none" w:sz="0" w:space="0" w:color="auto"/>
        <w:left w:val="none" w:sz="0" w:space="0" w:color="auto"/>
        <w:bottom w:val="none" w:sz="0" w:space="0" w:color="auto"/>
        <w:right w:val="none" w:sz="0" w:space="0" w:color="auto"/>
      </w:divBdr>
    </w:div>
    <w:div w:id="804928461">
      <w:bodyDiv w:val="1"/>
      <w:marLeft w:val="0"/>
      <w:marRight w:val="0"/>
      <w:marTop w:val="0"/>
      <w:marBottom w:val="0"/>
      <w:divBdr>
        <w:top w:val="none" w:sz="0" w:space="0" w:color="auto"/>
        <w:left w:val="none" w:sz="0" w:space="0" w:color="auto"/>
        <w:bottom w:val="none" w:sz="0" w:space="0" w:color="auto"/>
        <w:right w:val="none" w:sz="0" w:space="0" w:color="auto"/>
      </w:divBdr>
    </w:div>
    <w:div w:id="811561489">
      <w:bodyDiv w:val="1"/>
      <w:marLeft w:val="0"/>
      <w:marRight w:val="0"/>
      <w:marTop w:val="0"/>
      <w:marBottom w:val="0"/>
      <w:divBdr>
        <w:top w:val="none" w:sz="0" w:space="0" w:color="auto"/>
        <w:left w:val="none" w:sz="0" w:space="0" w:color="auto"/>
        <w:bottom w:val="none" w:sz="0" w:space="0" w:color="auto"/>
        <w:right w:val="none" w:sz="0" w:space="0" w:color="auto"/>
      </w:divBdr>
    </w:div>
    <w:div w:id="816530431">
      <w:bodyDiv w:val="1"/>
      <w:marLeft w:val="0"/>
      <w:marRight w:val="0"/>
      <w:marTop w:val="0"/>
      <w:marBottom w:val="0"/>
      <w:divBdr>
        <w:top w:val="none" w:sz="0" w:space="0" w:color="auto"/>
        <w:left w:val="none" w:sz="0" w:space="0" w:color="auto"/>
        <w:bottom w:val="none" w:sz="0" w:space="0" w:color="auto"/>
        <w:right w:val="none" w:sz="0" w:space="0" w:color="auto"/>
      </w:divBdr>
    </w:div>
    <w:div w:id="872230780">
      <w:bodyDiv w:val="1"/>
      <w:marLeft w:val="0"/>
      <w:marRight w:val="0"/>
      <w:marTop w:val="0"/>
      <w:marBottom w:val="0"/>
      <w:divBdr>
        <w:top w:val="none" w:sz="0" w:space="0" w:color="auto"/>
        <w:left w:val="none" w:sz="0" w:space="0" w:color="auto"/>
        <w:bottom w:val="none" w:sz="0" w:space="0" w:color="auto"/>
        <w:right w:val="none" w:sz="0" w:space="0" w:color="auto"/>
      </w:divBdr>
    </w:div>
    <w:div w:id="908270767">
      <w:bodyDiv w:val="1"/>
      <w:marLeft w:val="0"/>
      <w:marRight w:val="0"/>
      <w:marTop w:val="0"/>
      <w:marBottom w:val="0"/>
      <w:divBdr>
        <w:top w:val="none" w:sz="0" w:space="0" w:color="auto"/>
        <w:left w:val="none" w:sz="0" w:space="0" w:color="auto"/>
        <w:bottom w:val="none" w:sz="0" w:space="0" w:color="auto"/>
        <w:right w:val="none" w:sz="0" w:space="0" w:color="auto"/>
      </w:divBdr>
    </w:div>
    <w:div w:id="911505009">
      <w:bodyDiv w:val="1"/>
      <w:marLeft w:val="0"/>
      <w:marRight w:val="0"/>
      <w:marTop w:val="0"/>
      <w:marBottom w:val="0"/>
      <w:divBdr>
        <w:top w:val="none" w:sz="0" w:space="0" w:color="auto"/>
        <w:left w:val="none" w:sz="0" w:space="0" w:color="auto"/>
        <w:bottom w:val="none" w:sz="0" w:space="0" w:color="auto"/>
        <w:right w:val="none" w:sz="0" w:space="0" w:color="auto"/>
      </w:divBdr>
    </w:div>
    <w:div w:id="1011223567">
      <w:bodyDiv w:val="1"/>
      <w:marLeft w:val="0"/>
      <w:marRight w:val="0"/>
      <w:marTop w:val="0"/>
      <w:marBottom w:val="0"/>
      <w:divBdr>
        <w:top w:val="none" w:sz="0" w:space="0" w:color="auto"/>
        <w:left w:val="none" w:sz="0" w:space="0" w:color="auto"/>
        <w:bottom w:val="none" w:sz="0" w:space="0" w:color="auto"/>
        <w:right w:val="none" w:sz="0" w:space="0" w:color="auto"/>
      </w:divBdr>
    </w:div>
    <w:div w:id="1032223970">
      <w:bodyDiv w:val="1"/>
      <w:marLeft w:val="0"/>
      <w:marRight w:val="0"/>
      <w:marTop w:val="0"/>
      <w:marBottom w:val="0"/>
      <w:divBdr>
        <w:top w:val="none" w:sz="0" w:space="0" w:color="auto"/>
        <w:left w:val="none" w:sz="0" w:space="0" w:color="auto"/>
        <w:bottom w:val="none" w:sz="0" w:space="0" w:color="auto"/>
        <w:right w:val="none" w:sz="0" w:space="0" w:color="auto"/>
      </w:divBdr>
    </w:div>
    <w:div w:id="1049839986">
      <w:bodyDiv w:val="1"/>
      <w:marLeft w:val="0"/>
      <w:marRight w:val="0"/>
      <w:marTop w:val="0"/>
      <w:marBottom w:val="0"/>
      <w:divBdr>
        <w:top w:val="none" w:sz="0" w:space="0" w:color="auto"/>
        <w:left w:val="none" w:sz="0" w:space="0" w:color="auto"/>
        <w:bottom w:val="none" w:sz="0" w:space="0" w:color="auto"/>
        <w:right w:val="none" w:sz="0" w:space="0" w:color="auto"/>
      </w:divBdr>
    </w:div>
    <w:div w:id="1061368649">
      <w:bodyDiv w:val="1"/>
      <w:marLeft w:val="0"/>
      <w:marRight w:val="0"/>
      <w:marTop w:val="0"/>
      <w:marBottom w:val="0"/>
      <w:divBdr>
        <w:top w:val="none" w:sz="0" w:space="0" w:color="auto"/>
        <w:left w:val="none" w:sz="0" w:space="0" w:color="auto"/>
        <w:bottom w:val="none" w:sz="0" w:space="0" w:color="auto"/>
        <w:right w:val="none" w:sz="0" w:space="0" w:color="auto"/>
      </w:divBdr>
    </w:div>
    <w:div w:id="1104499142">
      <w:bodyDiv w:val="1"/>
      <w:marLeft w:val="0"/>
      <w:marRight w:val="0"/>
      <w:marTop w:val="0"/>
      <w:marBottom w:val="0"/>
      <w:divBdr>
        <w:top w:val="none" w:sz="0" w:space="0" w:color="auto"/>
        <w:left w:val="none" w:sz="0" w:space="0" w:color="auto"/>
        <w:bottom w:val="none" w:sz="0" w:space="0" w:color="auto"/>
        <w:right w:val="none" w:sz="0" w:space="0" w:color="auto"/>
      </w:divBdr>
    </w:div>
    <w:div w:id="1112096020">
      <w:bodyDiv w:val="1"/>
      <w:marLeft w:val="0"/>
      <w:marRight w:val="0"/>
      <w:marTop w:val="0"/>
      <w:marBottom w:val="0"/>
      <w:divBdr>
        <w:top w:val="none" w:sz="0" w:space="0" w:color="auto"/>
        <w:left w:val="none" w:sz="0" w:space="0" w:color="auto"/>
        <w:bottom w:val="none" w:sz="0" w:space="0" w:color="auto"/>
        <w:right w:val="none" w:sz="0" w:space="0" w:color="auto"/>
      </w:divBdr>
    </w:div>
    <w:div w:id="1163857851">
      <w:bodyDiv w:val="1"/>
      <w:marLeft w:val="0"/>
      <w:marRight w:val="0"/>
      <w:marTop w:val="0"/>
      <w:marBottom w:val="0"/>
      <w:divBdr>
        <w:top w:val="none" w:sz="0" w:space="0" w:color="auto"/>
        <w:left w:val="none" w:sz="0" w:space="0" w:color="auto"/>
        <w:bottom w:val="none" w:sz="0" w:space="0" w:color="auto"/>
        <w:right w:val="none" w:sz="0" w:space="0" w:color="auto"/>
      </w:divBdr>
      <w:divsChild>
        <w:div w:id="1801073182">
          <w:marLeft w:val="0"/>
          <w:marRight w:val="0"/>
          <w:marTop w:val="0"/>
          <w:marBottom w:val="0"/>
          <w:divBdr>
            <w:top w:val="none" w:sz="0" w:space="0" w:color="auto"/>
            <w:left w:val="none" w:sz="0" w:space="0" w:color="auto"/>
            <w:bottom w:val="none" w:sz="0" w:space="0" w:color="auto"/>
            <w:right w:val="none" w:sz="0" w:space="0" w:color="auto"/>
          </w:divBdr>
        </w:div>
      </w:divsChild>
    </w:div>
    <w:div w:id="1172909114">
      <w:bodyDiv w:val="1"/>
      <w:marLeft w:val="0"/>
      <w:marRight w:val="0"/>
      <w:marTop w:val="0"/>
      <w:marBottom w:val="0"/>
      <w:divBdr>
        <w:top w:val="none" w:sz="0" w:space="0" w:color="auto"/>
        <w:left w:val="none" w:sz="0" w:space="0" w:color="auto"/>
        <w:bottom w:val="none" w:sz="0" w:space="0" w:color="auto"/>
        <w:right w:val="none" w:sz="0" w:space="0" w:color="auto"/>
      </w:divBdr>
    </w:div>
    <w:div w:id="1184394856">
      <w:bodyDiv w:val="1"/>
      <w:marLeft w:val="0"/>
      <w:marRight w:val="0"/>
      <w:marTop w:val="0"/>
      <w:marBottom w:val="0"/>
      <w:divBdr>
        <w:top w:val="none" w:sz="0" w:space="0" w:color="auto"/>
        <w:left w:val="none" w:sz="0" w:space="0" w:color="auto"/>
        <w:bottom w:val="none" w:sz="0" w:space="0" w:color="auto"/>
        <w:right w:val="none" w:sz="0" w:space="0" w:color="auto"/>
      </w:divBdr>
    </w:div>
    <w:div w:id="1202590468">
      <w:bodyDiv w:val="1"/>
      <w:marLeft w:val="0"/>
      <w:marRight w:val="0"/>
      <w:marTop w:val="0"/>
      <w:marBottom w:val="0"/>
      <w:divBdr>
        <w:top w:val="none" w:sz="0" w:space="0" w:color="auto"/>
        <w:left w:val="none" w:sz="0" w:space="0" w:color="auto"/>
        <w:bottom w:val="none" w:sz="0" w:space="0" w:color="auto"/>
        <w:right w:val="none" w:sz="0" w:space="0" w:color="auto"/>
      </w:divBdr>
    </w:div>
    <w:div w:id="1207253005">
      <w:bodyDiv w:val="1"/>
      <w:marLeft w:val="0"/>
      <w:marRight w:val="0"/>
      <w:marTop w:val="0"/>
      <w:marBottom w:val="0"/>
      <w:divBdr>
        <w:top w:val="none" w:sz="0" w:space="0" w:color="auto"/>
        <w:left w:val="none" w:sz="0" w:space="0" w:color="auto"/>
        <w:bottom w:val="none" w:sz="0" w:space="0" w:color="auto"/>
        <w:right w:val="none" w:sz="0" w:space="0" w:color="auto"/>
      </w:divBdr>
    </w:div>
    <w:div w:id="1224564832">
      <w:bodyDiv w:val="1"/>
      <w:marLeft w:val="0"/>
      <w:marRight w:val="0"/>
      <w:marTop w:val="0"/>
      <w:marBottom w:val="0"/>
      <w:divBdr>
        <w:top w:val="none" w:sz="0" w:space="0" w:color="auto"/>
        <w:left w:val="none" w:sz="0" w:space="0" w:color="auto"/>
        <w:bottom w:val="none" w:sz="0" w:space="0" w:color="auto"/>
        <w:right w:val="none" w:sz="0" w:space="0" w:color="auto"/>
      </w:divBdr>
    </w:div>
    <w:div w:id="1227497882">
      <w:bodyDiv w:val="1"/>
      <w:marLeft w:val="0"/>
      <w:marRight w:val="0"/>
      <w:marTop w:val="0"/>
      <w:marBottom w:val="0"/>
      <w:divBdr>
        <w:top w:val="none" w:sz="0" w:space="0" w:color="auto"/>
        <w:left w:val="none" w:sz="0" w:space="0" w:color="auto"/>
        <w:bottom w:val="none" w:sz="0" w:space="0" w:color="auto"/>
        <w:right w:val="none" w:sz="0" w:space="0" w:color="auto"/>
      </w:divBdr>
    </w:div>
    <w:div w:id="1240484156">
      <w:bodyDiv w:val="1"/>
      <w:marLeft w:val="0"/>
      <w:marRight w:val="0"/>
      <w:marTop w:val="0"/>
      <w:marBottom w:val="0"/>
      <w:divBdr>
        <w:top w:val="none" w:sz="0" w:space="0" w:color="auto"/>
        <w:left w:val="none" w:sz="0" w:space="0" w:color="auto"/>
        <w:bottom w:val="none" w:sz="0" w:space="0" w:color="auto"/>
        <w:right w:val="none" w:sz="0" w:space="0" w:color="auto"/>
      </w:divBdr>
    </w:div>
    <w:div w:id="1261138427">
      <w:bodyDiv w:val="1"/>
      <w:marLeft w:val="0"/>
      <w:marRight w:val="0"/>
      <w:marTop w:val="0"/>
      <w:marBottom w:val="0"/>
      <w:divBdr>
        <w:top w:val="none" w:sz="0" w:space="0" w:color="auto"/>
        <w:left w:val="none" w:sz="0" w:space="0" w:color="auto"/>
        <w:bottom w:val="none" w:sz="0" w:space="0" w:color="auto"/>
        <w:right w:val="none" w:sz="0" w:space="0" w:color="auto"/>
      </w:divBdr>
    </w:div>
    <w:div w:id="1290433620">
      <w:bodyDiv w:val="1"/>
      <w:marLeft w:val="0"/>
      <w:marRight w:val="0"/>
      <w:marTop w:val="0"/>
      <w:marBottom w:val="0"/>
      <w:divBdr>
        <w:top w:val="none" w:sz="0" w:space="0" w:color="auto"/>
        <w:left w:val="none" w:sz="0" w:space="0" w:color="auto"/>
        <w:bottom w:val="none" w:sz="0" w:space="0" w:color="auto"/>
        <w:right w:val="none" w:sz="0" w:space="0" w:color="auto"/>
      </w:divBdr>
    </w:div>
    <w:div w:id="1334643261">
      <w:bodyDiv w:val="1"/>
      <w:marLeft w:val="0"/>
      <w:marRight w:val="0"/>
      <w:marTop w:val="0"/>
      <w:marBottom w:val="0"/>
      <w:divBdr>
        <w:top w:val="none" w:sz="0" w:space="0" w:color="auto"/>
        <w:left w:val="none" w:sz="0" w:space="0" w:color="auto"/>
        <w:bottom w:val="none" w:sz="0" w:space="0" w:color="auto"/>
        <w:right w:val="none" w:sz="0" w:space="0" w:color="auto"/>
      </w:divBdr>
    </w:div>
    <w:div w:id="1334916595">
      <w:bodyDiv w:val="1"/>
      <w:marLeft w:val="0"/>
      <w:marRight w:val="0"/>
      <w:marTop w:val="0"/>
      <w:marBottom w:val="0"/>
      <w:divBdr>
        <w:top w:val="none" w:sz="0" w:space="0" w:color="auto"/>
        <w:left w:val="none" w:sz="0" w:space="0" w:color="auto"/>
        <w:bottom w:val="none" w:sz="0" w:space="0" w:color="auto"/>
        <w:right w:val="none" w:sz="0" w:space="0" w:color="auto"/>
      </w:divBdr>
    </w:div>
    <w:div w:id="1406101729">
      <w:bodyDiv w:val="1"/>
      <w:marLeft w:val="0"/>
      <w:marRight w:val="0"/>
      <w:marTop w:val="0"/>
      <w:marBottom w:val="0"/>
      <w:divBdr>
        <w:top w:val="none" w:sz="0" w:space="0" w:color="auto"/>
        <w:left w:val="none" w:sz="0" w:space="0" w:color="auto"/>
        <w:bottom w:val="none" w:sz="0" w:space="0" w:color="auto"/>
        <w:right w:val="none" w:sz="0" w:space="0" w:color="auto"/>
      </w:divBdr>
    </w:div>
    <w:div w:id="1411152005">
      <w:bodyDiv w:val="1"/>
      <w:marLeft w:val="0"/>
      <w:marRight w:val="0"/>
      <w:marTop w:val="0"/>
      <w:marBottom w:val="0"/>
      <w:divBdr>
        <w:top w:val="none" w:sz="0" w:space="0" w:color="auto"/>
        <w:left w:val="none" w:sz="0" w:space="0" w:color="auto"/>
        <w:bottom w:val="none" w:sz="0" w:space="0" w:color="auto"/>
        <w:right w:val="none" w:sz="0" w:space="0" w:color="auto"/>
      </w:divBdr>
    </w:div>
    <w:div w:id="1444501120">
      <w:bodyDiv w:val="1"/>
      <w:marLeft w:val="0"/>
      <w:marRight w:val="0"/>
      <w:marTop w:val="0"/>
      <w:marBottom w:val="0"/>
      <w:divBdr>
        <w:top w:val="none" w:sz="0" w:space="0" w:color="auto"/>
        <w:left w:val="none" w:sz="0" w:space="0" w:color="auto"/>
        <w:bottom w:val="none" w:sz="0" w:space="0" w:color="auto"/>
        <w:right w:val="none" w:sz="0" w:space="0" w:color="auto"/>
      </w:divBdr>
    </w:div>
    <w:div w:id="1546022190">
      <w:bodyDiv w:val="1"/>
      <w:marLeft w:val="0"/>
      <w:marRight w:val="0"/>
      <w:marTop w:val="0"/>
      <w:marBottom w:val="0"/>
      <w:divBdr>
        <w:top w:val="none" w:sz="0" w:space="0" w:color="auto"/>
        <w:left w:val="none" w:sz="0" w:space="0" w:color="auto"/>
        <w:bottom w:val="none" w:sz="0" w:space="0" w:color="auto"/>
        <w:right w:val="none" w:sz="0" w:space="0" w:color="auto"/>
      </w:divBdr>
    </w:div>
    <w:div w:id="1555308462">
      <w:bodyDiv w:val="1"/>
      <w:marLeft w:val="0"/>
      <w:marRight w:val="0"/>
      <w:marTop w:val="0"/>
      <w:marBottom w:val="0"/>
      <w:divBdr>
        <w:top w:val="none" w:sz="0" w:space="0" w:color="auto"/>
        <w:left w:val="none" w:sz="0" w:space="0" w:color="auto"/>
        <w:bottom w:val="none" w:sz="0" w:space="0" w:color="auto"/>
        <w:right w:val="none" w:sz="0" w:space="0" w:color="auto"/>
      </w:divBdr>
      <w:divsChild>
        <w:div w:id="1039091833">
          <w:marLeft w:val="0"/>
          <w:marRight w:val="0"/>
          <w:marTop w:val="0"/>
          <w:marBottom w:val="0"/>
          <w:divBdr>
            <w:top w:val="none" w:sz="0" w:space="0" w:color="auto"/>
            <w:left w:val="none" w:sz="0" w:space="0" w:color="auto"/>
            <w:bottom w:val="none" w:sz="0" w:space="0" w:color="auto"/>
            <w:right w:val="none" w:sz="0" w:space="0" w:color="auto"/>
          </w:divBdr>
        </w:div>
      </w:divsChild>
    </w:div>
    <w:div w:id="1591308246">
      <w:bodyDiv w:val="1"/>
      <w:marLeft w:val="0"/>
      <w:marRight w:val="0"/>
      <w:marTop w:val="0"/>
      <w:marBottom w:val="0"/>
      <w:divBdr>
        <w:top w:val="none" w:sz="0" w:space="0" w:color="auto"/>
        <w:left w:val="none" w:sz="0" w:space="0" w:color="auto"/>
        <w:bottom w:val="none" w:sz="0" w:space="0" w:color="auto"/>
        <w:right w:val="none" w:sz="0" w:space="0" w:color="auto"/>
      </w:divBdr>
    </w:div>
    <w:div w:id="1595429849">
      <w:bodyDiv w:val="1"/>
      <w:marLeft w:val="0"/>
      <w:marRight w:val="0"/>
      <w:marTop w:val="0"/>
      <w:marBottom w:val="0"/>
      <w:divBdr>
        <w:top w:val="none" w:sz="0" w:space="0" w:color="auto"/>
        <w:left w:val="none" w:sz="0" w:space="0" w:color="auto"/>
        <w:bottom w:val="none" w:sz="0" w:space="0" w:color="auto"/>
        <w:right w:val="none" w:sz="0" w:space="0" w:color="auto"/>
      </w:divBdr>
    </w:div>
    <w:div w:id="1605574962">
      <w:bodyDiv w:val="1"/>
      <w:marLeft w:val="0"/>
      <w:marRight w:val="0"/>
      <w:marTop w:val="0"/>
      <w:marBottom w:val="0"/>
      <w:divBdr>
        <w:top w:val="none" w:sz="0" w:space="0" w:color="auto"/>
        <w:left w:val="none" w:sz="0" w:space="0" w:color="auto"/>
        <w:bottom w:val="none" w:sz="0" w:space="0" w:color="auto"/>
        <w:right w:val="none" w:sz="0" w:space="0" w:color="auto"/>
      </w:divBdr>
    </w:div>
    <w:div w:id="1616717545">
      <w:bodyDiv w:val="1"/>
      <w:marLeft w:val="0"/>
      <w:marRight w:val="0"/>
      <w:marTop w:val="0"/>
      <w:marBottom w:val="0"/>
      <w:divBdr>
        <w:top w:val="none" w:sz="0" w:space="0" w:color="auto"/>
        <w:left w:val="none" w:sz="0" w:space="0" w:color="auto"/>
        <w:bottom w:val="none" w:sz="0" w:space="0" w:color="auto"/>
        <w:right w:val="none" w:sz="0" w:space="0" w:color="auto"/>
      </w:divBdr>
      <w:divsChild>
        <w:div w:id="450049510">
          <w:marLeft w:val="0"/>
          <w:marRight w:val="0"/>
          <w:marTop w:val="0"/>
          <w:marBottom w:val="0"/>
          <w:divBdr>
            <w:top w:val="none" w:sz="0" w:space="0" w:color="auto"/>
            <w:left w:val="none" w:sz="0" w:space="0" w:color="auto"/>
            <w:bottom w:val="none" w:sz="0" w:space="0" w:color="auto"/>
            <w:right w:val="none" w:sz="0" w:space="0" w:color="auto"/>
          </w:divBdr>
        </w:div>
      </w:divsChild>
    </w:div>
    <w:div w:id="1627854626">
      <w:bodyDiv w:val="1"/>
      <w:marLeft w:val="0"/>
      <w:marRight w:val="0"/>
      <w:marTop w:val="0"/>
      <w:marBottom w:val="0"/>
      <w:divBdr>
        <w:top w:val="none" w:sz="0" w:space="0" w:color="auto"/>
        <w:left w:val="none" w:sz="0" w:space="0" w:color="auto"/>
        <w:bottom w:val="none" w:sz="0" w:space="0" w:color="auto"/>
        <w:right w:val="none" w:sz="0" w:space="0" w:color="auto"/>
      </w:divBdr>
    </w:div>
    <w:div w:id="1675261942">
      <w:bodyDiv w:val="1"/>
      <w:marLeft w:val="0"/>
      <w:marRight w:val="0"/>
      <w:marTop w:val="0"/>
      <w:marBottom w:val="0"/>
      <w:divBdr>
        <w:top w:val="none" w:sz="0" w:space="0" w:color="auto"/>
        <w:left w:val="none" w:sz="0" w:space="0" w:color="auto"/>
        <w:bottom w:val="none" w:sz="0" w:space="0" w:color="auto"/>
        <w:right w:val="none" w:sz="0" w:space="0" w:color="auto"/>
      </w:divBdr>
    </w:div>
    <w:div w:id="1757284166">
      <w:bodyDiv w:val="1"/>
      <w:marLeft w:val="0"/>
      <w:marRight w:val="0"/>
      <w:marTop w:val="0"/>
      <w:marBottom w:val="0"/>
      <w:divBdr>
        <w:top w:val="none" w:sz="0" w:space="0" w:color="auto"/>
        <w:left w:val="none" w:sz="0" w:space="0" w:color="auto"/>
        <w:bottom w:val="none" w:sz="0" w:space="0" w:color="auto"/>
        <w:right w:val="none" w:sz="0" w:space="0" w:color="auto"/>
      </w:divBdr>
    </w:div>
    <w:div w:id="1817915676">
      <w:bodyDiv w:val="1"/>
      <w:marLeft w:val="0"/>
      <w:marRight w:val="0"/>
      <w:marTop w:val="0"/>
      <w:marBottom w:val="0"/>
      <w:divBdr>
        <w:top w:val="none" w:sz="0" w:space="0" w:color="auto"/>
        <w:left w:val="none" w:sz="0" w:space="0" w:color="auto"/>
        <w:bottom w:val="none" w:sz="0" w:space="0" w:color="auto"/>
        <w:right w:val="none" w:sz="0" w:space="0" w:color="auto"/>
      </w:divBdr>
    </w:div>
    <w:div w:id="1869828198">
      <w:bodyDiv w:val="1"/>
      <w:marLeft w:val="0"/>
      <w:marRight w:val="0"/>
      <w:marTop w:val="0"/>
      <w:marBottom w:val="0"/>
      <w:divBdr>
        <w:top w:val="none" w:sz="0" w:space="0" w:color="auto"/>
        <w:left w:val="none" w:sz="0" w:space="0" w:color="auto"/>
        <w:bottom w:val="none" w:sz="0" w:space="0" w:color="auto"/>
        <w:right w:val="none" w:sz="0" w:space="0" w:color="auto"/>
      </w:divBdr>
    </w:div>
    <w:div w:id="1871071494">
      <w:bodyDiv w:val="1"/>
      <w:marLeft w:val="0"/>
      <w:marRight w:val="0"/>
      <w:marTop w:val="0"/>
      <w:marBottom w:val="0"/>
      <w:divBdr>
        <w:top w:val="none" w:sz="0" w:space="0" w:color="auto"/>
        <w:left w:val="none" w:sz="0" w:space="0" w:color="auto"/>
        <w:bottom w:val="none" w:sz="0" w:space="0" w:color="auto"/>
        <w:right w:val="none" w:sz="0" w:space="0" w:color="auto"/>
      </w:divBdr>
    </w:div>
    <w:div w:id="1874145124">
      <w:bodyDiv w:val="1"/>
      <w:marLeft w:val="0"/>
      <w:marRight w:val="0"/>
      <w:marTop w:val="0"/>
      <w:marBottom w:val="0"/>
      <w:divBdr>
        <w:top w:val="none" w:sz="0" w:space="0" w:color="auto"/>
        <w:left w:val="none" w:sz="0" w:space="0" w:color="auto"/>
        <w:bottom w:val="none" w:sz="0" w:space="0" w:color="auto"/>
        <w:right w:val="none" w:sz="0" w:space="0" w:color="auto"/>
      </w:divBdr>
    </w:div>
    <w:div w:id="1927424540">
      <w:bodyDiv w:val="1"/>
      <w:marLeft w:val="0"/>
      <w:marRight w:val="0"/>
      <w:marTop w:val="0"/>
      <w:marBottom w:val="0"/>
      <w:divBdr>
        <w:top w:val="none" w:sz="0" w:space="0" w:color="auto"/>
        <w:left w:val="none" w:sz="0" w:space="0" w:color="auto"/>
        <w:bottom w:val="none" w:sz="0" w:space="0" w:color="auto"/>
        <w:right w:val="none" w:sz="0" w:space="0" w:color="auto"/>
      </w:divBdr>
    </w:div>
    <w:div w:id="2035299708">
      <w:bodyDiv w:val="1"/>
      <w:marLeft w:val="0"/>
      <w:marRight w:val="0"/>
      <w:marTop w:val="0"/>
      <w:marBottom w:val="0"/>
      <w:divBdr>
        <w:top w:val="none" w:sz="0" w:space="0" w:color="auto"/>
        <w:left w:val="none" w:sz="0" w:space="0" w:color="auto"/>
        <w:bottom w:val="none" w:sz="0" w:space="0" w:color="auto"/>
        <w:right w:val="none" w:sz="0" w:space="0" w:color="auto"/>
      </w:divBdr>
    </w:div>
    <w:div w:id="2041860505">
      <w:bodyDiv w:val="1"/>
      <w:marLeft w:val="0"/>
      <w:marRight w:val="0"/>
      <w:marTop w:val="0"/>
      <w:marBottom w:val="0"/>
      <w:divBdr>
        <w:top w:val="none" w:sz="0" w:space="0" w:color="auto"/>
        <w:left w:val="none" w:sz="0" w:space="0" w:color="auto"/>
        <w:bottom w:val="none" w:sz="0" w:space="0" w:color="auto"/>
        <w:right w:val="none" w:sz="0" w:space="0" w:color="auto"/>
      </w:divBdr>
    </w:div>
    <w:div w:id="2091080724">
      <w:bodyDiv w:val="1"/>
      <w:marLeft w:val="0"/>
      <w:marRight w:val="0"/>
      <w:marTop w:val="0"/>
      <w:marBottom w:val="0"/>
      <w:divBdr>
        <w:top w:val="none" w:sz="0" w:space="0" w:color="auto"/>
        <w:left w:val="none" w:sz="0" w:space="0" w:color="auto"/>
        <w:bottom w:val="none" w:sz="0" w:space="0" w:color="auto"/>
        <w:right w:val="none" w:sz="0" w:space="0" w:color="auto"/>
      </w:divBdr>
    </w:div>
    <w:div w:id="2091464788">
      <w:bodyDiv w:val="1"/>
      <w:marLeft w:val="0"/>
      <w:marRight w:val="0"/>
      <w:marTop w:val="0"/>
      <w:marBottom w:val="0"/>
      <w:divBdr>
        <w:top w:val="none" w:sz="0" w:space="0" w:color="auto"/>
        <w:left w:val="none" w:sz="0" w:space="0" w:color="auto"/>
        <w:bottom w:val="none" w:sz="0" w:space="0" w:color="auto"/>
        <w:right w:val="none" w:sz="0" w:space="0" w:color="auto"/>
      </w:divBdr>
    </w:div>
    <w:div w:id="2093160259">
      <w:bodyDiv w:val="1"/>
      <w:marLeft w:val="0"/>
      <w:marRight w:val="0"/>
      <w:marTop w:val="0"/>
      <w:marBottom w:val="0"/>
      <w:divBdr>
        <w:top w:val="none" w:sz="0" w:space="0" w:color="auto"/>
        <w:left w:val="none" w:sz="0" w:space="0" w:color="auto"/>
        <w:bottom w:val="none" w:sz="0" w:space="0" w:color="auto"/>
        <w:right w:val="none" w:sz="0" w:space="0" w:color="auto"/>
      </w:divBdr>
    </w:div>
    <w:div w:id="2096050051">
      <w:bodyDiv w:val="1"/>
      <w:marLeft w:val="0"/>
      <w:marRight w:val="0"/>
      <w:marTop w:val="0"/>
      <w:marBottom w:val="0"/>
      <w:divBdr>
        <w:top w:val="none" w:sz="0" w:space="0" w:color="auto"/>
        <w:left w:val="none" w:sz="0" w:space="0" w:color="auto"/>
        <w:bottom w:val="none" w:sz="0" w:space="0" w:color="auto"/>
        <w:right w:val="none" w:sz="0" w:space="0" w:color="auto"/>
      </w:divBdr>
    </w:div>
    <w:div w:id="2101098070">
      <w:bodyDiv w:val="1"/>
      <w:marLeft w:val="0"/>
      <w:marRight w:val="0"/>
      <w:marTop w:val="0"/>
      <w:marBottom w:val="0"/>
      <w:divBdr>
        <w:top w:val="none" w:sz="0" w:space="0" w:color="auto"/>
        <w:left w:val="none" w:sz="0" w:space="0" w:color="auto"/>
        <w:bottom w:val="none" w:sz="0" w:space="0" w:color="auto"/>
        <w:right w:val="none" w:sz="0" w:space="0" w:color="auto"/>
      </w:divBdr>
    </w:div>
    <w:div w:id="2117483251">
      <w:bodyDiv w:val="1"/>
      <w:marLeft w:val="0"/>
      <w:marRight w:val="0"/>
      <w:marTop w:val="0"/>
      <w:marBottom w:val="0"/>
      <w:divBdr>
        <w:top w:val="none" w:sz="0" w:space="0" w:color="auto"/>
        <w:left w:val="none" w:sz="0" w:space="0" w:color="auto"/>
        <w:bottom w:val="none" w:sz="0" w:space="0" w:color="auto"/>
        <w:right w:val="none" w:sz="0" w:space="0" w:color="auto"/>
      </w:divBdr>
    </w:div>
    <w:div w:id="2120028155">
      <w:bodyDiv w:val="1"/>
      <w:marLeft w:val="0"/>
      <w:marRight w:val="0"/>
      <w:marTop w:val="0"/>
      <w:marBottom w:val="0"/>
      <w:divBdr>
        <w:top w:val="none" w:sz="0" w:space="0" w:color="auto"/>
        <w:left w:val="none" w:sz="0" w:space="0" w:color="auto"/>
        <w:bottom w:val="none" w:sz="0" w:space="0" w:color="auto"/>
        <w:right w:val="none" w:sz="0" w:space="0" w:color="auto"/>
      </w:divBdr>
    </w:div>
    <w:div w:id="21202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2549A.E704484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7591</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2021-04-19T08:57:00Z</dcterms:created>
  <dcterms:modified xsi:type="dcterms:W3CDTF">2021-04-22T15:21:00Z</dcterms:modified>
</cp:coreProperties>
</file>